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A10" w14:textId="14C0DA56" w:rsidR="00B73EF0" w:rsidRPr="00735772" w:rsidRDefault="00B7466B" w:rsidP="00E63A63">
      <w:pPr>
        <w:spacing w:after="0"/>
        <w:rPr>
          <w:color w:val="215E99" w:themeColor="text2" w:themeTint="BF"/>
          <w:sz w:val="96"/>
          <w:szCs w:val="96"/>
        </w:rPr>
      </w:pPr>
      <w:bookmarkStart w:id="1" w:name="_Toc109898580"/>
      <w:bookmarkStart w:id="2" w:name="_Toc109970469"/>
      <w:bookmarkStart w:id="3" w:name="_Toc109970675"/>
      <w:bookmarkStart w:id="4" w:name="_Toc115089357"/>
      <w:bookmarkStart w:id="5" w:name="_Toc115163145"/>
      <w:bookmarkStart w:id="6" w:name="_Toc115163303"/>
      <w:r>
        <w:rPr>
          <w:color w:val="215E99" w:themeColor="text2" w:themeTint="BF"/>
          <w:sz w:val="96"/>
          <w:szCs w:val="96"/>
        </w:rPr>
        <w:t>De</w:t>
      </w:r>
      <w:r w:rsidR="00770E05">
        <w:rPr>
          <w:color w:val="215E99" w:themeColor="text2" w:themeTint="BF"/>
          <w:sz w:val="96"/>
          <w:szCs w:val="96"/>
        </w:rPr>
        <w:t>finition of NEBA Hub</w:t>
      </w:r>
    </w:p>
    <w:p w14:paraId="428C4807" w14:textId="30185CA7" w:rsidR="000B6DF3" w:rsidRPr="00735772" w:rsidRDefault="00C2330A" w:rsidP="00E63A63">
      <w:pPr>
        <w:pStyle w:val="Title"/>
        <w:spacing w:after="360"/>
        <w:rPr>
          <w:color w:val="000000" w:themeColor="text1"/>
        </w:rPr>
      </w:pPr>
      <w:r w:rsidRPr="00C2330A">
        <w:rPr>
          <w:color w:val="000000" w:themeColor="text1"/>
        </w:rPr>
        <w:t>Open call for cascade grants</w:t>
      </w:r>
      <w:r>
        <w:rPr>
          <w:color w:val="000000" w:themeColor="text1"/>
        </w:rPr>
        <w:t xml:space="preserve"> of NEBA Alliance</w:t>
      </w:r>
    </w:p>
    <w:p w14:paraId="3FD5D3D4" w14:textId="77777777" w:rsidR="006D2AE5" w:rsidRDefault="006D2AE5">
      <w:pPr>
        <w:spacing w:after="160" w:line="278" w:lineRule="auto"/>
      </w:pPr>
    </w:p>
    <w:p w14:paraId="17B17F63" w14:textId="6A043E45" w:rsidR="006D2AE5" w:rsidRPr="006D2AE5" w:rsidRDefault="006D2AE5">
      <w:pPr>
        <w:spacing w:after="160" w:line="278" w:lineRule="auto"/>
      </w:pPr>
      <w:r w:rsidRPr="006D2AE5">
        <w:t>Open date for proposals: Friday, February 28, 2025, at 13:00 (Brussels Time)</w:t>
      </w:r>
    </w:p>
    <w:p w14:paraId="56D62CD8" w14:textId="3A4395D3" w:rsidR="006D2AE5" w:rsidRPr="006D2AE5" w:rsidRDefault="006D2AE5">
      <w:pPr>
        <w:spacing w:after="160" w:line="278" w:lineRule="auto"/>
      </w:pPr>
      <w:r w:rsidRPr="006D2AE5">
        <w:t>Deadline: Monday, May 5, 2025 at 17:00 (Brussels Time)</w:t>
      </w:r>
    </w:p>
    <w:p w14:paraId="06365ACB" w14:textId="20B69652" w:rsidR="00D766C1" w:rsidRPr="003D4EDE" w:rsidRDefault="00D766C1">
      <w:pPr>
        <w:spacing w:after="160" w:line="278" w:lineRule="auto"/>
        <w:rPr>
          <w:smallCaps/>
          <w:color w:val="215E99" w:themeColor="text2" w:themeTint="BF"/>
          <w:sz w:val="40"/>
          <w:szCs w:val="40"/>
        </w:rPr>
      </w:pPr>
      <w:r w:rsidRPr="003D4EDE">
        <w:rPr>
          <w:smallCaps/>
          <w:color w:val="215E99" w:themeColor="text2" w:themeTint="BF"/>
          <w:sz w:val="40"/>
          <w:szCs w:val="40"/>
        </w:rPr>
        <w:br w:type="page"/>
      </w:r>
    </w:p>
    <w:p w14:paraId="3F26CEF8" w14:textId="4D0FDFB7" w:rsidR="00782A07" w:rsidRDefault="00770E05" w:rsidP="00DE6E52">
      <w:pPr>
        <w:spacing w:before="800" w:after="400"/>
        <w:rPr>
          <w:smallCaps/>
          <w:color w:val="215E99" w:themeColor="text2" w:themeTint="BF"/>
          <w:sz w:val="40"/>
          <w:szCs w:val="40"/>
        </w:rPr>
      </w:pPr>
      <w:r>
        <w:rPr>
          <w:smallCaps/>
          <w:color w:val="215E99" w:themeColor="text2" w:themeTint="BF"/>
          <w:sz w:val="40"/>
          <w:szCs w:val="40"/>
        </w:rPr>
        <w:lastRenderedPageBreak/>
        <w:t>NEB Academy</w:t>
      </w:r>
    </w:p>
    <w:p w14:paraId="0536914E" w14:textId="4CF16B55" w:rsidR="00770E05" w:rsidRDefault="00770E05" w:rsidP="00770E05">
      <w:pPr>
        <w:jc w:val="both"/>
      </w:pPr>
      <w:bookmarkStart w:id="7" w:name="_Toc109970471"/>
      <w:bookmarkEnd w:id="1"/>
      <w:bookmarkEnd w:id="2"/>
      <w:bookmarkEnd w:id="3"/>
      <w:bookmarkEnd w:id="4"/>
      <w:bookmarkEnd w:id="5"/>
      <w:bookmarkEnd w:id="6"/>
      <w:r>
        <w:t xml:space="preserve">The New European Bauhaus Academy (NEBA), a flagship initiative of the European Commission on skills for sustainable construction, accelerates the up- and re-skilling of the current and future workforce to transition to a resilient domestic building construction sector. It is being formed at the University of </w:t>
      </w:r>
      <w:proofErr w:type="spellStart"/>
      <w:r>
        <w:t>Primorska</w:t>
      </w:r>
      <w:proofErr w:type="spellEnd"/>
      <w:r>
        <w:t xml:space="preserve"> (Slovenia)</w:t>
      </w:r>
      <w:r w:rsidR="00341ACE">
        <w:t xml:space="preserve"> as a network of NEBA Hubs</w:t>
      </w:r>
      <w:r>
        <w:t>. The NEBA is comprised of Hubs spread across Europe with regional and/or topical reach. Currently, there are five NEBA Hubs forming the NEBA (</w:t>
      </w:r>
      <w:r w:rsidR="00B0158B">
        <w:t>founders of separate NEBA hubs are in parenthesis</w:t>
      </w:r>
      <w:r>
        <w:t>):</w:t>
      </w:r>
    </w:p>
    <w:p w14:paraId="19E90D26" w14:textId="77777777" w:rsidR="00B0158B" w:rsidRDefault="00B0158B" w:rsidP="00B0158B">
      <w:pPr>
        <w:pStyle w:val="ListParagraph"/>
        <w:numPr>
          <w:ilvl w:val="0"/>
          <w:numId w:val="47"/>
        </w:numPr>
      </w:pPr>
      <w:r>
        <w:t>NEBAP Hub (</w:t>
      </w:r>
      <w:r w:rsidRPr="00060561">
        <w:t xml:space="preserve">Founders: University of </w:t>
      </w:r>
      <w:proofErr w:type="spellStart"/>
      <w:r w:rsidRPr="00060561">
        <w:t>Primorska</w:t>
      </w:r>
      <w:proofErr w:type="spellEnd"/>
      <w:r w:rsidRPr="00060561">
        <w:t xml:space="preserve"> (Slovenia), </w:t>
      </w:r>
      <w:proofErr w:type="spellStart"/>
      <w:r w:rsidRPr="00060561">
        <w:t>Politechnika</w:t>
      </w:r>
      <w:proofErr w:type="spellEnd"/>
      <w:r w:rsidRPr="00060561">
        <w:t xml:space="preserve"> </w:t>
      </w:r>
      <w:proofErr w:type="spellStart"/>
      <w:r w:rsidRPr="00060561">
        <w:t>Lodzka</w:t>
      </w:r>
      <w:proofErr w:type="spellEnd"/>
      <w:r w:rsidRPr="00060561">
        <w:t xml:space="preserve"> (Poland), </w:t>
      </w:r>
      <w:proofErr w:type="spellStart"/>
      <w:r w:rsidRPr="00060561">
        <w:t>Holzbau</w:t>
      </w:r>
      <w:proofErr w:type="spellEnd"/>
      <w:r w:rsidRPr="00060561">
        <w:t xml:space="preserve"> Austria (Austria)</w:t>
      </w:r>
      <w:r>
        <w:t>)</w:t>
      </w:r>
    </w:p>
    <w:p w14:paraId="1CAA3968" w14:textId="77777777" w:rsidR="00B0158B" w:rsidRDefault="00B0158B" w:rsidP="00B0158B">
      <w:pPr>
        <w:pStyle w:val="ListParagraph"/>
        <w:numPr>
          <w:ilvl w:val="0"/>
          <w:numId w:val="47"/>
        </w:numPr>
      </w:pPr>
      <w:r>
        <w:t>NEBA Central Hub (</w:t>
      </w:r>
      <w:r w:rsidRPr="00060561">
        <w:t>Founders: Bauhaus Earth (Germany), TU Berlin (Germany), University of Sustainability Eberswalde (Germany), TU Delft (Netherlands)</w:t>
      </w:r>
      <w:r>
        <w:t xml:space="preserve">); </w:t>
      </w:r>
    </w:p>
    <w:p w14:paraId="49691303" w14:textId="77777777" w:rsidR="00B0158B" w:rsidRDefault="00B0158B" w:rsidP="00B0158B">
      <w:pPr>
        <w:pStyle w:val="ListParagraph"/>
        <w:numPr>
          <w:ilvl w:val="0"/>
          <w:numId w:val="47"/>
        </w:numPr>
      </w:pPr>
      <w:r>
        <w:t>NEBA South Hub (</w:t>
      </w:r>
      <w:r w:rsidRPr="00060561">
        <w:t xml:space="preserve">Founders: IAAC (Spain), </w:t>
      </w:r>
      <w:proofErr w:type="spellStart"/>
      <w:r w:rsidRPr="00060561">
        <w:t>Cesefor</w:t>
      </w:r>
      <w:proofErr w:type="spellEnd"/>
      <w:r w:rsidRPr="00060561">
        <w:t xml:space="preserve"> (Spain), </w:t>
      </w:r>
      <w:proofErr w:type="spellStart"/>
      <w:r w:rsidRPr="00060561">
        <w:t>Regione</w:t>
      </w:r>
      <w:proofErr w:type="spellEnd"/>
      <w:r w:rsidRPr="00060561">
        <w:t xml:space="preserve"> Liguria (Italy)</w:t>
      </w:r>
      <w:r>
        <w:t xml:space="preserve">); </w:t>
      </w:r>
    </w:p>
    <w:p w14:paraId="5F0B37D3" w14:textId="77777777" w:rsidR="00B0158B" w:rsidRDefault="00B0158B" w:rsidP="00B0158B">
      <w:pPr>
        <w:pStyle w:val="ListParagraph"/>
        <w:numPr>
          <w:ilvl w:val="0"/>
          <w:numId w:val="47"/>
        </w:numPr>
      </w:pPr>
      <w:r>
        <w:t>NEBA North Hub (</w:t>
      </w:r>
      <w:r w:rsidRPr="00060561">
        <w:t>Founders: RISE (Sweden), Aalto (Finland), EKA (Estonia)</w:t>
      </w:r>
      <w:r>
        <w:t xml:space="preserve">); </w:t>
      </w:r>
    </w:p>
    <w:p w14:paraId="4C697C68" w14:textId="77777777" w:rsidR="00B0158B" w:rsidRDefault="00B0158B" w:rsidP="00B0158B">
      <w:pPr>
        <w:pStyle w:val="ListParagraph"/>
        <w:numPr>
          <w:ilvl w:val="0"/>
          <w:numId w:val="47"/>
        </w:numPr>
      </w:pPr>
      <w:r>
        <w:t>NEBA Outreach Hub (</w:t>
      </w:r>
      <w:r w:rsidRPr="00060561">
        <w:t xml:space="preserve">Founders: </w:t>
      </w:r>
      <w:proofErr w:type="spellStart"/>
      <w:r w:rsidRPr="00060561">
        <w:t>I</w:t>
      </w:r>
      <w:r>
        <w:t>nnovaWood</w:t>
      </w:r>
      <w:proofErr w:type="spellEnd"/>
      <w:r w:rsidRPr="00060561">
        <w:t xml:space="preserve"> (Belgium), EAAE (Belgium), BOKU (Austria)</w:t>
      </w:r>
      <w:r>
        <w:t xml:space="preserve">); </w:t>
      </w:r>
    </w:p>
    <w:p w14:paraId="70035E9E" w14:textId="01001E4C" w:rsidR="00341ACE" w:rsidRDefault="00341ACE" w:rsidP="00770E05">
      <w:pPr>
        <w:jc w:val="both"/>
      </w:pPr>
      <w:r>
        <w:t>Bodies of the NEBA are managing Body, Steering Committee, Council Board, and Advisory Board.</w:t>
      </w:r>
    </w:p>
    <w:p w14:paraId="0B136370" w14:textId="026EB64E" w:rsidR="000D2717" w:rsidRDefault="00770E05" w:rsidP="00770E05">
      <w:pPr>
        <w:jc w:val="both"/>
      </w:pPr>
      <w:r>
        <w:t>NEB</w:t>
      </w:r>
      <w:r w:rsidR="00341ACE">
        <w:t>A’</w:t>
      </w:r>
      <w:r>
        <w:t>s mission is to train, upskill, and reskill the construction ecosystem to achieve a carbon neutral building sector and a beautiful, sustainable, and inclusive transformation of the built environment.</w:t>
      </w:r>
    </w:p>
    <w:p w14:paraId="6C5489FA" w14:textId="77777777" w:rsidR="000D2717" w:rsidRDefault="000D2717">
      <w:pPr>
        <w:spacing w:after="160" w:line="278" w:lineRule="auto"/>
      </w:pPr>
      <w:r>
        <w:br w:type="page"/>
      </w:r>
    </w:p>
    <w:p w14:paraId="26303646" w14:textId="6E4225A6" w:rsidR="000D2717" w:rsidRDefault="000D2717" w:rsidP="000D2717">
      <w:pPr>
        <w:spacing w:before="800" w:after="400"/>
        <w:rPr>
          <w:smallCaps/>
          <w:color w:val="215E99" w:themeColor="text2" w:themeTint="BF"/>
          <w:sz w:val="40"/>
          <w:szCs w:val="40"/>
        </w:rPr>
      </w:pPr>
      <w:r>
        <w:rPr>
          <w:smallCaps/>
          <w:color w:val="215E99" w:themeColor="text2" w:themeTint="BF"/>
          <w:sz w:val="40"/>
          <w:szCs w:val="40"/>
        </w:rPr>
        <w:lastRenderedPageBreak/>
        <w:t>NEBA Hub</w:t>
      </w:r>
    </w:p>
    <w:p w14:paraId="548D5B4A" w14:textId="3CCCA45C" w:rsidR="00341ACE" w:rsidRDefault="000D2717" w:rsidP="00341ACE">
      <w:pPr>
        <w:jc w:val="both"/>
      </w:pPr>
      <w:r>
        <w:t xml:space="preserve">NEBA </w:t>
      </w:r>
      <w:r w:rsidR="00341ACE">
        <w:t>Hubs serve as a meeting point between trainers, knowledge seekers, policy and advocacy actors, as well as international and multi-cultural actors. NEBA Hubs are also central contact points for promotions and administration of NEBA activities. NEBA Hubs contribute to shape a building culture that consider ecological limitations, circularity, waste reduction, technical innovations and novel construction materials. NEBA Hubs organisational structure can take various forms depending on the specific needs and conditions of the region with the goal to connect different regional actors and make relevant training available to a broad audience.</w:t>
      </w:r>
    </w:p>
    <w:p w14:paraId="4770FC56" w14:textId="42465993" w:rsidR="00341ACE" w:rsidRDefault="000D2717" w:rsidP="00770E05">
      <w:pPr>
        <w:jc w:val="both"/>
      </w:pPr>
      <w:r>
        <w:t>Activities of NEBA Hubs:</w:t>
      </w:r>
    </w:p>
    <w:p w14:paraId="07F63034" w14:textId="77777777" w:rsidR="000D2717" w:rsidRPr="00C5728D" w:rsidRDefault="000D2717" w:rsidP="000D2717">
      <w:pPr>
        <w:pStyle w:val="ListParagraph"/>
        <w:numPr>
          <w:ilvl w:val="0"/>
          <w:numId w:val="110"/>
        </w:numPr>
        <w:spacing w:after="160" w:line="278" w:lineRule="auto"/>
        <w:rPr>
          <w:b/>
          <w:bCs/>
          <w:color w:val="000000" w:themeColor="text1"/>
        </w:rPr>
      </w:pPr>
      <w:r w:rsidRPr="00C5728D">
        <w:rPr>
          <w:b/>
          <w:bCs/>
          <w:color w:val="000000" w:themeColor="text1"/>
        </w:rPr>
        <w:t>Training for upskilling and reskilling of construction ecosystem</w:t>
      </w:r>
    </w:p>
    <w:p w14:paraId="0AA3E8FA" w14:textId="77777777" w:rsidR="000D2717" w:rsidRPr="00252F55" w:rsidRDefault="000D2717" w:rsidP="000D2717">
      <w:pPr>
        <w:pStyle w:val="ListParagraph"/>
        <w:numPr>
          <w:ilvl w:val="1"/>
          <w:numId w:val="110"/>
        </w:numPr>
        <w:spacing w:after="0" w:line="278" w:lineRule="auto"/>
        <w:ind w:left="1434" w:hanging="357"/>
        <w:rPr>
          <w:color w:val="000000" w:themeColor="text1"/>
        </w:rPr>
      </w:pPr>
      <w:r w:rsidRPr="00252F55">
        <w:rPr>
          <w:color w:val="000000" w:themeColor="text1"/>
        </w:rPr>
        <w:t>Identifying skills and knowledge gaps and supporting the development of training programmes to resolve them.</w:t>
      </w:r>
    </w:p>
    <w:p w14:paraId="4D2D6722" w14:textId="77777777" w:rsidR="000D2717" w:rsidRPr="00252F55" w:rsidRDefault="000D2717" w:rsidP="000D2717">
      <w:pPr>
        <w:pStyle w:val="ListParagraph"/>
        <w:numPr>
          <w:ilvl w:val="1"/>
          <w:numId w:val="110"/>
        </w:numPr>
        <w:spacing w:after="0" w:line="278" w:lineRule="auto"/>
        <w:ind w:left="1434" w:hanging="357"/>
        <w:rPr>
          <w:color w:val="000000" w:themeColor="text1"/>
        </w:rPr>
      </w:pPr>
      <w:r w:rsidRPr="00252F55">
        <w:rPr>
          <w:color w:val="000000" w:themeColor="text1"/>
        </w:rPr>
        <w:t>Assuring quality of training materials and delivery, monitor</w:t>
      </w:r>
      <w:r>
        <w:rPr>
          <w:color w:val="000000" w:themeColor="text1"/>
        </w:rPr>
        <w:t>ing</w:t>
      </w:r>
      <w:r w:rsidRPr="00252F55">
        <w:rPr>
          <w:color w:val="000000" w:themeColor="text1"/>
        </w:rPr>
        <w:t xml:space="preserve"> alignment with NEB values and principles, especially through Train-the-Trainer type events</w:t>
      </w:r>
    </w:p>
    <w:p w14:paraId="61DA528D" w14:textId="77777777" w:rsidR="000D2717" w:rsidRDefault="000D2717" w:rsidP="000D2717">
      <w:pPr>
        <w:pStyle w:val="ListParagraph"/>
        <w:numPr>
          <w:ilvl w:val="1"/>
          <w:numId w:val="110"/>
        </w:numPr>
        <w:spacing w:after="0" w:line="278" w:lineRule="auto"/>
        <w:ind w:left="1434" w:hanging="357"/>
        <w:rPr>
          <w:color w:val="000000" w:themeColor="text1"/>
        </w:rPr>
      </w:pPr>
      <w:r w:rsidRPr="00252F55">
        <w:rPr>
          <w:color w:val="000000" w:themeColor="text1"/>
        </w:rPr>
        <w:t>Mapping relevant actors and resources</w:t>
      </w:r>
      <w:r>
        <w:rPr>
          <w:color w:val="000000" w:themeColor="text1"/>
        </w:rPr>
        <w:t xml:space="preserve">. Identify </w:t>
      </w:r>
      <w:r w:rsidRPr="00252F55">
        <w:rPr>
          <w:color w:val="000000" w:themeColor="text1"/>
        </w:rPr>
        <w:t xml:space="preserve">who may provide training, who may seek it, where training may take place, </w:t>
      </w:r>
      <w:r>
        <w:rPr>
          <w:color w:val="000000" w:themeColor="text1"/>
        </w:rPr>
        <w:t>which</w:t>
      </w:r>
      <w:r w:rsidRPr="00252F55">
        <w:rPr>
          <w:color w:val="000000" w:themeColor="text1"/>
        </w:rPr>
        <w:t xml:space="preserve"> digital resources trainers have (or have access to), </w:t>
      </w:r>
      <w:r>
        <w:rPr>
          <w:color w:val="000000" w:themeColor="text1"/>
        </w:rPr>
        <w:t xml:space="preserve">any </w:t>
      </w:r>
      <w:r w:rsidRPr="00252F55">
        <w:rPr>
          <w:color w:val="000000" w:themeColor="text1"/>
        </w:rPr>
        <w:t>requirements</w:t>
      </w:r>
      <w:r>
        <w:rPr>
          <w:color w:val="000000" w:themeColor="text1"/>
        </w:rPr>
        <w:t xml:space="preserve"> that</w:t>
      </w:r>
      <w:r w:rsidRPr="00252F55">
        <w:rPr>
          <w:color w:val="000000" w:themeColor="text1"/>
        </w:rPr>
        <w:t xml:space="preserve"> may be placed on training for certain actors (such as accreditation)</w:t>
      </w:r>
      <w:r>
        <w:rPr>
          <w:color w:val="000000" w:themeColor="text1"/>
        </w:rPr>
        <w:t>.</w:t>
      </w:r>
    </w:p>
    <w:p w14:paraId="0F9DC4D7" w14:textId="77777777" w:rsidR="000D2717" w:rsidRPr="00BC4B2D" w:rsidRDefault="000D2717" w:rsidP="000D2717">
      <w:pPr>
        <w:pStyle w:val="ListParagraph"/>
        <w:numPr>
          <w:ilvl w:val="0"/>
          <w:numId w:val="110"/>
        </w:numPr>
        <w:spacing w:after="160" w:line="278" w:lineRule="auto"/>
        <w:rPr>
          <w:b/>
          <w:bCs/>
          <w:color w:val="000000" w:themeColor="text1"/>
        </w:rPr>
      </w:pPr>
      <w:r>
        <w:rPr>
          <w:b/>
          <w:bCs/>
          <w:color w:val="000000" w:themeColor="text1"/>
        </w:rPr>
        <w:t>Awareness raising activities</w:t>
      </w:r>
    </w:p>
    <w:p w14:paraId="329528E0" w14:textId="77777777" w:rsidR="000D2717" w:rsidRDefault="000D2717" w:rsidP="000D2717">
      <w:pPr>
        <w:pStyle w:val="ListParagraph"/>
        <w:numPr>
          <w:ilvl w:val="1"/>
          <w:numId w:val="110"/>
        </w:numPr>
        <w:spacing w:after="160" w:line="278" w:lineRule="auto"/>
        <w:rPr>
          <w:color w:val="000000" w:themeColor="text1"/>
        </w:rPr>
      </w:pPr>
      <w:r w:rsidRPr="00C5728D">
        <w:rPr>
          <w:color w:val="000000" w:themeColor="text1"/>
        </w:rPr>
        <w:t xml:space="preserve">Facilitating </w:t>
      </w:r>
      <w:r>
        <w:rPr>
          <w:color w:val="000000" w:themeColor="text1"/>
        </w:rPr>
        <w:t xml:space="preserve">adoption of the NEB values and principles by the society through various communication activities and channels. </w:t>
      </w:r>
    </w:p>
    <w:p w14:paraId="1F4DD8C4" w14:textId="77777777" w:rsidR="000D2717" w:rsidRPr="00C5728D" w:rsidRDefault="000D2717" w:rsidP="000D2717">
      <w:pPr>
        <w:pStyle w:val="ListParagraph"/>
        <w:numPr>
          <w:ilvl w:val="1"/>
          <w:numId w:val="110"/>
        </w:numPr>
        <w:spacing w:after="160" w:line="278" w:lineRule="auto"/>
        <w:rPr>
          <w:color w:val="000000" w:themeColor="text1"/>
        </w:rPr>
      </w:pPr>
      <w:r>
        <w:rPr>
          <w:color w:val="000000" w:themeColor="text1"/>
        </w:rPr>
        <w:t>Engaging with the society through co-creation activities and participatory actions in developing the future training activities.</w:t>
      </w:r>
    </w:p>
    <w:p w14:paraId="0881A44F" w14:textId="77777777" w:rsidR="000D2717" w:rsidRPr="00C5728D" w:rsidRDefault="000D2717" w:rsidP="000D2717">
      <w:pPr>
        <w:pStyle w:val="ListParagraph"/>
        <w:numPr>
          <w:ilvl w:val="0"/>
          <w:numId w:val="110"/>
        </w:numPr>
        <w:spacing w:after="160" w:line="278" w:lineRule="auto"/>
        <w:rPr>
          <w:b/>
          <w:bCs/>
          <w:color w:val="000000" w:themeColor="text1"/>
        </w:rPr>
      </w:pPr>
      <w:r w:rsidRPr="00C5728D">
        <w:rPr>
          <w:b/>
          <w:bCs/>
          <w:color w:val="000000" w:themeColor="text1"/>
        </w:rPr>
        <w:t>Networking with NEBA Hubs, NEB partners, and stakeholders</w:t>
      </w:r>
    </w:p>
    <w:p w14:paraId="70891AA7" w14:textId="77777777" w:rsidR="000D2717" w:rsidRPr="00C5728D" w:rsidRDefault="000D2717" w:rsidP="000D2717">
      <w:pPr>
        <w:pStyle w:val="ListParagraph"/>
        <w:numPr>
          <w:ilvl w:val="1"/>
          <w:numId w:val="110"/>
        </w:numPr>
        <w:spacing w:after="160" w:line="278" w:lineRule="auto"/>
        <w:rPr>
          <w:color w:val="000000" w:themeColor="text1"/>
        </w:rPr>
      </w:pPr>
      <w:r w:rsidRPr="00C5728D">
        <w:rPr>
          <w:color w:val="000000" w:themeColor="text1"/>
        </w:rPr>
        <w:lastRenderedPageBreak/>
        <w:t>Facilitating networking and collaboration between actors; i.e., connecting trainers with other trainers, trainers with knowledge seekers, linking transdisciplinary actors from industry, society, academia, and policy.</w:t>
      </w:r>
    </w:p>
    <w:p w14:paraId="56D05C19" w14:textId="77777777" w:rsidR="000D2717" w:rsidRDefault="000D2717" w:rsidP="000D2717">
      <w:pPr>
        <w:pStyle w:val="ListParagraph"/>
        <w:numPr>
          <w:ilvl w:val="1"/>
          <w:numId w:val="110"/>
        </w:numPr>
        <w:spacing w:after="160" w:line="278" w:lineRule="auto"/>
      </w:pPr>
      <w:r w:rsidRPr="00252F55">
        <w:t>Support</w:t>
      </w:r>
      <w:r>
        <w:t>ing</w:t>
      </w:r>
      <w:r w:rsidRPr="00252F55">
        <w:t xml:space="preserve"> gathering and sharing best practices </w:t>
      </w:r>
      <w:r>
        <w:t>among</w:t>
      </w:r>
      <w:r w:rsidRPr="00252F55">
        <w:t xml:space="preserve"> other NEBA Hubs, identifying synergistic opportunities.</w:t>
      </w:r>
    </w:p>
    <w:p w14:paraId="126A066C" w14:textId="77777777" w:rsidR="000D2717" w:rsidRPr="00C5728D" w:rsidRDefault="000D2717" w:rsidP="000D2717">
      <w:pPr>
        <w:pStyle w:val="ListParagraph"/>
        <w:numPr>
          <w:ilvl w:val="0"/>
          <w:numId w:val="110"/>
        </w:numPr>
        <w:spacing w:after="160" w:line="278" w:lineRule="auto"/>
        <w:rPr>
          <w:b/>
          <w:bCs/>
        </w:rPr>
      </w:pPr>
      <w:r>
        <w:rPr>
          <w:b/>
          <w:bCs/>
        </w:rPr>
        <w:t>Shaping</w:t>
      </w:r>
      <w:r w:rsidRPr="00C5728D">
        <w:rPr>
          <w:b/>
          <w:bCs/>
        </w:rPr>
        <w:t xml:space="preserve"> </w:t>
      </w:r>
      <w:r>
        <w:rPr>
          <w:b/>
          <w:bCs/>
        </w:rPr>
        <w:t>policy and legislative frameworks following</w:t>
      </w:r>
      <w:r w:rsidRPr="009A7DF1">
        <w:rPr>
          <w:b/>
        </w:rPr>
        <w:t xml:space="preserve"> </w:t>
      </w:r>
      <w:r w:rsidRPr="00C5728D">
        <w:rPr>
          <w:b/>
          <w:bCs/>
        </w:rPr>
        <w:t>NEB values and principles</w:t>
      </w:r>
    </w:p>
    <w:p w14:paraId="088520D3" w14:textId="77777777" w:rsidR="000D2717" w:rsidRPr="00252F55" w:rsidRDefault="000D2717" w:rsidP="000D2717">
      <w:pPr>
        <w:pStyle w:val="ListParagraph"/>
        <w:numPr>
          <w:ilvl w:val="1"/>
          <w:numId w:val="110"/>
        </w:numPr>
        <w:spacing w:after="160" w:line="278" w:lineRule="auto"/>
        <w:rPr>
          <w:color w:val="000000" w:themeColor="text1"/>
        </w:rPr>
      </w:pPr>
      <w:r w:rsidRPr="00252F55">
        <w:rPr>
          <w:color w:val="000000" w:themeColor="text1"/>
        </w:rPr>
        <w:t>Facilitating funding acquisition and distribution</w:t>
      </w:r>
      <w:r>
        <w:rPr>
          <w:color w:val="000000" w:themeColor="text1"/>
        </w:rPr>
        <w:t>.</w:t>
      </w:r>
    </w:p>
    <w:p w14:paraId="7648EBFB" w14:textId="77777777" w:rsidR="000D2717" w:rsidRPr="00252F55" w:rsidRDefault="000D2717" w:rsidP="000D2717">
      <w:pPr>
        <w:pStyle w:val="ListParagraph"/>
        <w:numPr>
          <w:ilvl w:val="1"/>
          <w:numId w:val="110"/>
        </w:numPr>
        <w:spacing w:after="160" w:line="278" w:lineRule="auto"/>
        <w:rPr>
          <w:color w:val="000000" w:themeColor="text1"/>
        </w:rPr>
      </w:pPr>
      <w:r w:rsidRPr="00252F55">
        <w:rPr>
          <w:color w:val="000000" w:themeColor="text1"/>
        </w:rPr>
        <w:t>Liaising with national, international, and regional actors</w:t>
      </w:r>
      <w:r>
        <w:rPr>
          <w:color w:val="000000" w:themeColor="text1"/>
        </w:rPr>
        <w:t>.</w:t>
      </w:r>
    </w:p>
    <w:p w14:paraId="6691F843" w14:textId="77777777" w:rsidR="000D2717" w:rsidRPr="00252F55" w:rsidRDefault="000D2717" w:rsidP="000D2717">
      <w:pPr>
        <w:pStyle w:val="ListParagraph"/>
        <w:numPr>
          <w:ilvl w:val="1"/>
          <w:numId w:val="110"/>
        </w:numPr>
        <w:spacing w:after="160" w:line="278" w:lineRule="auto"/>
        <w:rPr>
          <w:color w:val="000000" w:themeColor="text1"/>
        </w:rPr>
      </w:pPr>
      <w:r w:rsidRPr="00252F55">
        <w:rPr>
          <w:color w:val="000000" w:themeColor="text1"/>
        </w:rPr>
        <w:t>Advocating for modernisation of professional standards for current and future needs in line with NEB values and principles (i.e., seeking updates to the requirements for life-long learning attestation, professional degree programme accreditation).</w:t>
      </w:r>
    </w:p>
    <w:p w14:paraId="08EE1AC1" w14:textId="77777777" w:rsidR="000D2717" w:rsidRPr="00252F55" w:rsidRDefault="000D2717" w:rsidP="000D2717">
      <w:pPr>
        <w:pStyle w:val="ListParagraph"/>
        <w:numPr>
          <w:ilvl w:val="1"/>
          <w:numId w:val="110"/>
        </w:numPr>
        <w:spacing w:after="160" w:line="278" w:lineRule="auto"/>
        <w:rPr>
          <w:color w:val="000000" w:themeColor="text1"/>
        </w:rPr>
      </w:pPr>
      <w:r w:rsidRPr="00252F55">
        <w:rPr>
          <w:color w:val="000000" w:themeColor="text1"/>
        </w:rPr>
        <w:t>Advocating for a conducive policy environment for NEBA Hubs operations, sustainable construction, and broader NEB implementation.</w:t>
      </w:r>
    </w:p>
    <w:p w14:paraId="31850D9E" w14:textId="77777777" w:rsidR="000D2717" w:rsidRPr="00252F55" w:rsidRDefault="000D2717" w:rsidP="000D2717">
      <w:pPr>
        <w:rPr>
          <w:color w:val="000000" w:themeColor="text1"/>
        </w:rPr>
      </w:pPr>
      <w:r w:rsidRPr="00252F55">
        <w:rPr>
          <w:color w:val="000000" w:themeColor="text1"/>
        </w:rPr>
        <w:t>In addition to these activities, NEBA Hubs have additional responsibilities, such as:</w:t>
      </w:r>
    </w:p>
    <w:p w14:paraId="58684661" w14:textId="77777777" w:rsidR="000D2717" w:rsidRPr="00252F55" w:rsidRDefault="000D2717" w:rsidP="000D2717">
      <w:pPr>
        <w:pStyle w:val="ListParagraph"/>
        <w:numPr>
          <w:ilvl w:val="0"/>
          <w:numId w:val="109"/>
        </w:numPr>
        <w:spacing w:after="160" w:line="278" w:lineRule="auto"/>
        <w:rPr>
          <w:color w:val="000000" w:themeColor="text1"/>
        </w:rPr>
      </w:pPr>
      <w:r w:rsidRPr="00252F55">
        <w:rPr>
          <w:color w:val="000000" w:themeColor="text1"/>
        </w:rPr>
        <w:t>Establish</w:t>
      </w:r>
      <w:r>
        <w:rPr>
          <w:color w:val="000000" w:themeColor="text1"/>
        </w:rPr>
        <w:t>ment of</w:t>
      </w:r>
      <w:r w:rsidRPr="00252F55">
        <w:rPr>
          <w:color w:val="000000" w:themeColor="text1"/>
        </w:rPr>
        <w:t xml:space="preserve"> its own governance structure that is tailored to its regional/national/international context, that includes identifying a responsible entity to chair the organisation, administration, and management of the NEBA Hub.</w:t>
      </w:r>
    </w:p>
    <w:p w14:paraId="3360EB3A" w14:textId="77777777" w:rsidR="000D2717" w:rsidRPr="00252F55" w:rsidRDefault="000D2717" w:rsidP="000D2717">
      <w:pPr>
        <w:pStyle w:val="ListParagraph"/>
        <w:numPr>
          <w:ilvl w:val="1"/>
          <w:numId w:val="109"/>
        </w:numPr>
        <w:spacing w:after="160" w:line="278" w:lineRule="auto"/>
        <w:rPr>
          <w:color w:val="000000" w:themeColor="text1"/>
        </w:rPr>
      </w:pPr>
      <w:r w:rsidRPr="00252F55">
        <w:rPr>
          <w:color w:val="000000" w:themeColor="text1"/>
        </w:rPr>
        <w:t>It is important that the governance structure plans for expansion through the addition of new members – NEBA Hubs should be mindful of the inclusiv</w:t>
      </w:r>
      <w:r>
        <w:rPr>
          <w:color w:val="000000" w:themeColor="text1"/>
        </w:rPr>
        <w:t>e</w:t>
      </w:r>
      <w:r w:rsidRPr="00252F55">
        <w:rPr>
          <w:color w:val="000000" w:themeColor="text1"/>
        </w:rPr>
        <w:t xml:space="preserve"> NEB value. Additionally, as new training needs emerge, partnering with trainers outside the network may be the most effective way to address them.</w:t>
      </w:r>
    </w:p>
    <w:p w14:paraId="282CF0CE" w14:textId="77777777" w:rsidR="000D2717" w:rsidRDefault="000D2717" w:rsidP="000D2717">
      <w:pPr>
        <w:pStyle w:val="ListParagraph"/>
        <w:numPr>
          <w:ilvl w:val="0"/>
          <w:numId w:val="109"/>
        </w:numPr>
        <w:spacing w:after="160" w:line="278" w:lineRule="auto"/>
        <w:rPr>
          <w:color w:val="000000" w:themeColor="text1"/>
        </w:rPr>
      </w:pPr>
      <w:r>
        <w:rPr>
          <w:color w:val="000000" w:themeColor="text1"/>
        </w:rPr>
        <w:t>Define the mission and measurable key performance indicators of their the NEBA Hub.</w:t>
      </w:r>
    </w:p>
    <w:p w14:paraId="5F1ED56B" w14:textId="77777777" w:rsidR="000D2717" w:rsidRDefault="000D2717" w:rsidP="000D2717">
      <w:pPr>
        <w:pStyle w:val="ListParagraph"/>
        <w:numPr>
          <w:ilvl w:val="0"/>
          <w:numId w:val="109"/>
        </w:numPr>
        <w:spacing w:after="160" w:line="278" w:lineRule="auto"/>
        <w:rPr>
          <w:color w:val="000000" w:themeColor="text1"/>
        </w:rPr>
      </w:pPr>
      <w:r>
        <w:rPr>
          <w:color w:val="000000" w:themeColor="text1"/>
        </w:rPr>
        <w:t>Establish international collaborations and facilitate their collaboration with the NEBA Hub’s activities.</w:t>
      </w:r>
    </w:p>
    <w:p w14:paraId="3CEE47C2" w14:textId="77777777" w:rsidR="000D2717" w:rsidRPr="00252F55" w:rsidRDefault="000D2717" w:rsidP="000D2717">
      <w:pPr>
        <w:pStyle w:val="ListParagraph"/>
        <w:numPr>
          <w:ilvl w:val="0"/>
          <w:numId w:val="109"/>
        </w:numPr>
        <w:spacing w:after="160" w:line="278" w:lineRule="auto"/>
        <w:rPr>
          <w:color w:val="000000" w:themeColor="text1"/>
        </w:rPr>
      </w:pPr>
      <w:r w:rsidRPr="00252F55">
        <w:rPr>
          <w:color w:val="000000" w:themeColor="text1"/>
        </w:rPr>
        <w:lastRenderedPageBreak/>
        <w:t>Continuous improvement</w:t>
      </w:r>
      <w:r>
        <w:rPr>
          <w:color w:val="000000" w:themeColor="text1"/>
        </w:rPr>
        <w:t xml:space="preserve"> by collecting feedback from training participants and other activities. </w:t>
      </w:r>
    </w:p>
    <w:p w14:paraId="1C43A7CF" w14:textId="77777777" w:rsidR="000D2717" w:rsidRDefault="000D2717" w:rsidP="000D2717">
      <w:pPr>
        <w:pStyle w:val="ListParagraph"/>
        <w:numPr>
          <w:ilvl w:val="0"/>
          <w:numId w:val="109"/>
        </w:numPr>
        <w:spacing w:after="160" w:line="278" w:lineRule="auto"/>
        <w:rPr>
          <w:color w:val="000000" w:themeColor="text1"/>
        </w:rPr>
      </w:pPr>
      <w:r>
        <w:rPr>
          <w:color w:val="000000" w:themeColor="text1"/>
        </w:rPr>
        <w:t xml:space="preserve">Responsibly manage the NEBA Hub, develop annual plans and annual reports to be shared with the NEBA. </w:t>
      </w:r>
    </w:p>
    <w:p w14:paraId="03C83DD2" w14:textId="5D9A5C8B" w:rsidR="000D2717" w:rsidRDefault="000643BB" w:rsidP="00770E05">
      <w:pPr>
        <w:jc w:val="both"/>
      </w:pPr>
      <w:r>
        <w:t>Each NEBA Hub is to define:</w:t>
      </w:r>
    </w:p>
    <w:p w14:paraId="0E0609E4" w14:textId="3468B9BF" w:rsidR="000643BB" w:rsidRDefault="004E5BDA" w:rsidP="000643BB">
      <w:pPr>
        <w:pStyle w:val="ListParagraph"/>
        <w:numPr>
          <w:ilvl w:val="0"/>
          <w:numId w:val="110"/>
        </w:numPr>
        <w:jc w:val="both"/>
      </w:pPr>
      <w:r>
        <w:t>Form a governance structure, defining roles and responsibilities as well as mechanisms for collaboration and engagement</w:t>
      </w:r>
    </w:p>
    <w:p w14:paraId="1B55C200" w14:textId="2D233855" w:rsidR="004E5BDA" w:rsidRDefault="004E5BDA" w:rsidP="000643BB">
      <w:pPr>
        <w:pStyle w:val="ListParagraph"/>
        <w:numPr>
          <w:ilvl w:val="0"/>
          <w:numId w:val="110"/>
        </w:numPr>
        <w:jc w:val="both"/>
      </w:pPr>
      <w:r>
        <w:t xml:space="preserve">Define main activities to be performed by the NEBA Hub. </w:t>
      </w:r>
      <w:r w:rsidRPr="004E5BDA">
        <w:t xml:space="preserve">It can be accredited courses, trainings, awareness raising activities, either online, offline, or mixed that address the knowledge gaps in </w:t>
      </w:r>
      <w:r>
        <w:t>thei</w:t>
      </w:r>
      <w:r w:rsidRPr="004E5BDA">
        <w:t>r target audience</w:t>
      </w:r>
      <w:r>
        <w:t>.</w:t>
      </w:r>
    </w:p>
    <w:p w14:paraId="773E59D7" w14:textId="4675C17D" w:rsidR="004E5BDA" w:rsidRDefault="004E5BDA" w:rsidP="000643BB">
      <w:pPr>
        <w:pStyle w:val="ListParagraph"/>
        <w:numPr>
          <w:ilvl w:val="0"/>
          <w:numId w:val="110"/>
        </w:numPr>
        <w:jc w:val="both"/>
      </w:pPr>
      <w:r>
        <w:t>Target audience to be trained and type of trainings to be performed (examples given in Table 1)</w:t>
      </w:r>
    </w:p>
    <w:p w14:paraId="734EB1A3" w14:textId="6DE20BD0" w:rsidR="004E5BDA" w:rsidRDefault="004E5BDA" w:rsidP="00C9633B">
      <w:pPr>
        <w:pStyle w:val="ListParagraph"/>
        <w:numPr>
          <w:ilvl w:val="0"/>
          <w:numId w:val="110"/>
        </w:numPr>
        <w:jc w:val="both"/>
      </w:pPr>
      <w:r>
        <w:t xml:space="preserve">Define short term, midterm and long-term objectives. Set up measurable indicators for these objectives, e.g., number of people trained, number of people to be reached by promotional activities, number of study visits, amount of funds secured, etc. </w:t>
      </w:r>
    </w:p>
    <w:p w14:paraId="21642889" w14:textId="77777777" w:rsidR="004E5BDA" w:rsidRDefault="004E5BDA" w:rsidP="004E5BDA">
      <w:pPr>
        <w:pStyle w:val="ListParagraph"/>
        <w:numPr>
          <w:ilvl w:val="0"/>
          <w:numId w:val="110"/>
        </w:numPr>
        <w:jc w:val="both"/>
      </w:pPr>
      <w:r>
        <w:t>Set up the equipment and infrastructure needed for the Hub's activities</w:t>
      </w:r>
    </w:p>
    <w:p w14:paraId="1A73E03F" w14:textId="77777777" w:rsidR="004E5BDA" w:rsidRDefault="004E5BDA" w:rsidP="004E5BDA">
      <w:pPr>
        <w:pStyle w:val="ListParagraph"/>
        <w:numPr>
          <w:ilvl w:val="0"/>
          <w:numId w:val="110"/>
        </w:numPr>
        <w:jc w:val="both"/>
      </w:pPr>
      <w:r>
        <w:t>Develop partnerships with stakeholder organizations</w:t>
      </w:r>
    </w:p>
    <w:p w14:paraId="6A6E8782" w14:textId="77777777" w:rsidR="004E5BDA" w:rsidRDefault="004E5BDA" w:rsidP="004E5BDA">
      <w:pPr>
        <w:pStyle w:val="ListParagraph"/>
        <w:numPr>
          <w:ilvl w:val="0"/>
          <w:numId w:val="110"/>
        </w:numPr>
        <w:jc w:val="both"/>
      </w:pPr>
      <w:r>
        <w:t>Develop or modify training materials</w:t>
      </w:r>
    </w:p>
    <w:p w14:paraId="2D517007" w14:textId="77777777" w:rsidR="004E5BDA" w:rsidRDefault="004E5BDA" w:rsidP="004E5BDA">
      <w:pPr>
        <w:pStyle w:val="ListParagraph"/>
        <w:numPr>
          <w:ilvl w:val="0"/>
          <w:numId w:val="110"/>
        </w:numPr>
        <w:jc w:val="both"/>
      </w:pPr>
      <w:r>
        <w:t>Recruit training participants</w:t>
      </w:r>
    </w:p>
    <w:p w14:paraId="2843824E" w14:textId="77777777" w:rsidR="004E5BDA" w:rsidRDefault="004E5BDA" w:rsidP="004E5BDA">
      <w:pPr>
        <w:pStyle w:val="ListParagraph"/>
        <w:numPr>
          <w:ilvl w:val="0"/>
          <w:numId w:val="110"/>
        </w:numPr>
        <w:jc w:val="both"/>
      </w:pPr>
      <w:r>
        <w:t>Implement trainings</w:t>
      </w:r>
    </w:p>
    <w:p w14:paraId="40EAA1EF" w14:textId="77777777" w:rsidR="004E5BDA" w:rsidRDefault="004E5BDA" w:rsidP="004E5BDA">
      <w:pPr>
        <w:pStyle w:val="ListParagraph"/>
        <w:numPr>
          <w:ilvl w:val="0"/>
          <w:numId w:val="110"/>
        </w:numPr>
        <w:jc w:val="both"/>
      </w:pPr>
      <w:r>
        <w:t>Evaluate the training processing and iterate to improve</w:t>
      </w:r>
    </w:p>
    <w:p w14:paraId="57B8B6F3" w14:textId="77777777" w:rsidR="004E5BDA" w:rsidRDefault="004E5BDA" w:rsidP="004E5BDA">
      <w:pPr>
        <w:jc w:val="both"/>
      </w:pPr>
    </w:p>
    <w:p w14:paraId="55DFEF31" w14:textId="77777777" w:rsidR="004E5BDA" w:rsidRPr="0007724A" w:rsidRDefault="004E5BDA" w:rsidP="004E5BDA">
      <w:pPr>
        <w:pStyle w:val="TableHeader"/>
      </w:pPr>
      <w:r>
        <w:t>Table 1. Stakeholder groups and type of trainings to be offered to them</w:t>
      </w:r>
    </w:p>
    <w:tbl>
      <w:tblPr>
        <w:tblStyle w:val="TableGrid"/>
        <w:tblW w:w="0" w:type="auto"/>
        <w:tblLook w:val="04A0" w:firstRow="1" w:lastRow="0" w:firstColumn="1" w:lastColumn="0" w:noHBand="0" w:noVBand="1"/>
      </w:tblPr>
      <w:tblGrid>
        <w:gridCol w:w="2612"/>
        <w:gridCol w:w="6450"/>
      </w:tblGrid>
      <w:tr w:rsidR="004E5BDA" w14:paraId="59850A41" w14:textId="77777777" w:rsidTr="0067508E">
        <w:tc>
          <w:tcPr>
            <w:tcW w:w="2689" w:type="dxa"/>
          </w:tcPr>
          <w:p w14:paraId="0AE8108F" w14:textId="77777777" w:rsidR="004E5BDA" w:rsidRPr="00C5728D" w:rsidRDefault="004E5BDA" w:rsidP="0067508E">
            <w:pPr>
              <w:spacing w:after="0"/>
              <w:rPr>
                <w:i/>
                <w:iCs/>
                <w:color w:val="000000" w:themeColor="text1"/>
              </w:rPr>
            </w:pPr>
            <w:r w:rsidRPr="00C5728D">
              <w:rPr>
                <w:i/>
                <w:iCs/>
                <w:color w:val="000000" w:themeColor="text1"/>
              </w:rPr>
              <w:t>Stakeholder group</w:t>
            </w:r>
          </w:p>
        </w:tc>
        <w:tc>
          <w:tcPr>
            <w:tcW w:w="6661" w:type="dxa"/>
          </w:tcPr>
          <w:p w14:paraId="03CFE4B1" w14:textId="77777777" w:rsidR="004E5BDA" w:rsidRPr="00C5728D" w:rsidRDefault="004E5BDA" w:rsidP="0067508E">
            <w:pPr>
              <w:spacing w:after="0"/>
              <w:rPr>
                <w:i/>
                <w:iCs/>
                <w:color w:val="000000" w:themeColor="text1"/>
              </w:rPr>
            </w:pPr>
            <w:r w:rsidRPr="00C5728D">
              <w:rPr>
                <w:i/>
                <w:iCs/>
                <w:color w:val="000000" w:themeColor="text1"/>
              </w:rPr>
              <w:t>Type of trainings</w:t>
            </w:r>
          </w:p>
        </w:tc>
      </w:tr>
      <w:tr w:rsidR="004E5BDA" w14:paraId="1C8C3EF6" w14:textId="77777777" w:rsidTr="0067508E">
        <w:tc>
          <w:tcPr>
            <w:tcW w:w="2689" w:type="dxa"/>
          </w:tcPr>
          <w:p w14:paraId="5FE7430B" w14:textId="77777777" w:rsidR="004E5BDA" w:rsidRDefault="004E5BDA" w:rsidP="0067508E">
            <w:pPr>
              <w:spacing w:after="0"/>
              <w:rPr>
                <w:color w:val="000000" w:themeColor="text1"/>
              </w:rPr>
            </w:pPr>
            <w:r>
              <w:rPr>
                <w:color w:val="000000" w:themeColor="text1"/>
              </w:rPr>
              <w:t>Policy makers, public officials</w:t>
            </w:r>
          </w:p>
        </w:tc>
        <w:tc>
          <w:tcPr>
            <w:tcW w:w="6661" w:type="dxa"/>
          </w:tcPr>
          <w:p w14:paraId="4603D842" w14:textId="77777777" w:rsidR="004E5BDA" w:rsidRDefault="004E5BDA" w:rsidP="0067508E">
            <w:pPr>
              <w:spacing w:after="0"/>
              <w:rPr>
                <w:color w:val="000000" w:themeColor="text1"/>
              </w:rPr>
            </w:pPr>
            <w:r>
              <w:rPr>
                <w:color w:val="000000" w:themeColor="text1"/>
              </w:rPr>
              <w:t>Debates, study visits, courses recognized for their promotion, short-form courses</w:t>
            </w:r>
          </w:p>
        </w:tc>
      </w:tr>
      <w:tr w:rsidR="004E5BDA" w14:paraId="2896C96C" w14:textId="77777777" w:rsidTr="0067508E">
        <w:tc>
          <w:tcPr>
            <w:tcW w:w="2689" w:type="dxa"/>
          </w:tcPr>
          <w:p w14:paraId="4B5814D2" w14:textId="77777777" w:rsidR="004E5BDA" w:rsidRDefault="004E5BDA" w:rsidP="0067508E">
            <w:pPr>
              <w:spacing w:after="0"/>
              <w:rPr>
                <w:color w:val="000000" w:themeColor="text1"/>
              </w:rPr>
            </w:pPr>
            <w:r>
              <w:rPr>
                <w:color w:val="000000" w:themeColor="text1"/>
              </w:rPr>
              <w:t>Architects, engineers</w:t>
            </w:r>
          </w:p>
        </w:tc>
        <w:tc>
          <w:tcPr>
            <w:tcW w:w="6661" w:type="dxa"/>
          </w:tcPr>
          <w:p w14:paraId="0D2391A3" w14:textId="77777777" w:rsidR="004E5BDA" w:rsidRDefault="004E5BDA" w:rsidP="0067508E">
            <w:pPr>
              <w:spacing w:after="0"/>
              <w:rPr>
                <w:color w:val="000000" w:themeColor="text1"/>
              </w:rPr>
            </w:pPr>
            <w:r>
              <w:rPr>
                <w:color w:val="000000" w:themeColor="text1"/>
              </w:rPr>
              <w:t>Courses recognized by attestation, updated study programmes</w:t>
            </w:r>
          </w:p>
        </w:tc>
      </w:tr>
      <w:tr w:rsidR="004E5BDA" w14:paraId="0AB6AC81" w14:textId="77777777" w:rsidTr="0067508E">
        <w:tc>
          <w:tcPr>
            <w:tcW w:w="2689" w:type="dxa"/>
          </w:tcPr>
          <w:p w14:paraId="3BB9F858" w14:textId="77777777" w:rsidR="004E5BDA" w:rsidRDefault="004E5BDA" w:rsidP="0067508E">
            <w:pPr>
              <w:spacing w:after="0"/>
              <w:rPr>
                <w:color w:val="000000" w:themeColor="text1"/>
              </w:rPr>
            </w:pPr>
            <w:r>
              <w:rPr>
                <w:color w:val="000000" w:themeColor="text1"/>
              </w:rPr>
              <w:t>Industry</w:t>
            </w:r>
          </w:p>
        </w:tc>
        <w:tc>
          <w:tcPr>
            <w:tcW w:w="6661" w:type="dxa"/>
          </w:tcPr>
          <w:p w14:paraId="68792614" w14:textId="77777777" w:rsidR="004E5BDA" w:rsidRDefault="004E5BDA" w:rsidP="0067508E">
            <w:pPr>
              <w:spacing w:after="0"/>
              <w:rPr>
                <w:color w:val="000000" w:themeColor="text1"/>
              </w:rPr>
            </w:pPr>
            <w:r>
              <w:rPr>
                <w:color w:val="000000" w:themeColor="text1"/>
              </w:rPr>
              <w:t>Trainings courses by recognised professionals/practitioners, hands-on training, study visits</w:t>
            </w:r>
          </w:p>
        </w:tc>
      </w:tr>
      <w:tr w:rsidR="004E5BDA" w14:paraId="2B0325BA" w14:textId="77777777" w:rsidTr="0067508E">
        <w:tc>
          <w:tcPr>
            <w:tcW w:w="2689" w:type="dxa"/>
          </w:tcPr>
          <w:p w14:paraId="1D047F2C" w14:textId="77777777" w:rsidR="004E5BDA" w:rsidRDefault="004E5BDA" w:rsidP="0067508E">
            <w:pPr>
              <w:spacing w:after="0"/>
              <w:rPr>
                <w:color w:val="000000" w:themeColor="text1"/>
              </w:rPr>
            </w:pPr>
            <w:r>
              <w:rPr>
                <w:color w:val="000000" w:themeColor="text1"/>
              </w:rPr>
              <w:t>Blue-collar workers</w:t>
            </w:r>
          </w:p>
        </w:tc>
        <w:tc>
          <w:tcPr>
            <w:tcW w:w="6661" w:type="dxa"/>
          </w:tcPr>
          <w:p w14:paraId="508F7833" w14:textId="77777777" w:rsidR="004E5BDA" w:rsidRDefault="004E5BDA" w:rsidP="0067508E">
            <w:pPr>
              <w:spacing w:after="0"/>
              <w:rPr>
                <w:color w:val="000000" w:themeColor="text1"/>
              </w:rPr>
            </w:pPr>
            <w:r>
              <w:rPr>
                <w:color w:val="000000" w:themeColor="text1"/>
              </w:rPr>
              <w:t>Demonstrations, study visits, hands-on training</w:t>
            </w:r>
          </w:p>
        </w:tc>
      </w:tr>
      <w:tr w:rsidR="004E5BDA" w14:paraId="124C5502" w14:textId="77777777" w:rsidTr="0067508E">
        <w:tc>
          <w:tcPr>
            <w:tcW w:w="2689" w:type="dxa"/>
          </w:tcPr>
          <w:p w14:paraId="32CB2B4F" w14:textId="77777777" w:rsidR="004E5BDA" w:rsidRDefault="004E5BDA" w:rsidP="0067508E">
            <w:pPr>
              <w:spacing w:after="0"/>
              <w:rPr>
                <w:color w:val="000000" w:themeColor="text1"/>
              </w:rPr>
            </w:pPr>
            <w:r>
              <w:rPr>
                <w:color w:val="000000" w:themeColor="text1"/>
              </w:rPr>
              <w:lastRenderedPageBreak/>
              <w:t>Society</w:t>
            </w:r>
          </w:p>
        </w:tc>
        <w:tc>
          <w:tcPr>
            <w:tcW w:w="6661" w:type="dxa"/>
          </w:tcPr>
          <w:p w14:paraId="37494E44" w14:textId="77777777" w:rsidR="004E5BDA" w:rsidRDefault="004E5BDA" w:rsidP="0067508E">
            <w:pPr>
              <w:spacing w:after="0"/>
              <w:rPr>
                <w:color w:val="000000" w:themeColor="text1"/>
              </w:rPr>
            </w:pPr>
            <w:r>
              <w:rPr>
                <w:color w:val="000000" w:themeColor="text1"/>
              </w:rPr>
              <w:t>Videos, podcasts, open house events, gallery displays, public seminars for non-academic audiences, etc.</w:t>
            </w:r>
          </w:p>
        </w:tc>
      </w:tr>
      <w:tr w:rsidR="004E5BDA" w14:paraId="77C07716" w14:textId="77777777" w:rsidTr="0067508E">
        <w:tc>
          <w:tcPr>
            <w:tcW w:w="2689" w:type="dxa"/>
          </w:tcPr>
          <w:p w14:paraId="1565DA16" w14:textId="77777777" w:rsidR="004E5BDA" w:rsidRDefault="004E5BDA" w:rsidP="0067508E">
            <w:pPr>
              <w:spacing w:after="0"/>
              <w:rPr>
                <w:color w:val="000000" w:themeColor="text1"/>
              </w:rPr>
            </w:pPr>
            <w:r>
              <w:rPr>
                <w:color w:val="000000" w:themeColor="text1"/>
              </w:rPr>
              <w:t xml:space="preserve">Students </w:t>
            </w:r>
          </w:p>
        </w:tc>
        <w:tc>
          <w:tcPr>
            <w:tcW w:w="6661" w:type="dxa"/>
          </w:tcPr>
          <w:p w14:paraId="7F6C45D8" w14:textId="77777777" w:rsidR="004E5BDA" w:rsidRDefault="004E5BDA" w:rsidP="0067508E">
            <w:pPr>
              <w:spacing w:after="0"/>
              <w:rPr>
                <w:color w:val="000000" w:themeColor="text1"/>
              </w:rPr>
            </w:pPr>
            <w:r>
              <w:rPr>
                <w:color w:val="000000" w:themeColor="text1"/>
              </w:rPr>
              <w:t>Study programmes, summer schools, study visits, guest lectures, study exchanges</w:t>
            </w:r>
          </w:p>
        </w:tc>
      </w:tr>
    </w:tbl>
    <w:p w14:paraId="19A9D0AB" w14:textId="77777777" w:rsidR="004E5BDA" w:rsidRDefault="004E5BDA" w:rsidP="004E5BDA">
      <w:pPr>
        <w:jc w:val="both"/>
      </w:pPr>
    </w:p>
    <w:bookmarkEnd w:id="7"/>
    <w:p w14:paraId="4DFBC29D" w14:textId="77777777" w:rsidR="006E7264" w:rsidRDefault="006E7264" w:rsidP="006E7264"/>
    <w:sectPr w:rsidR="006E7264" w:rsidSect="00A6725F">
      <w:headerReference w:type="default" r:id="rId10"/>
      <w:footerReference w:type="default" r:id="rId11"/>
      <w:headerReference w:type="first" r:id="rId12"/>
      <w:footerReference w:type="first" r:id="rId13"/>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E7E2" w14:textId="77777777" w:rsidR="0039740B" w:rsidRPr="003D4EDE" w:rsidRDefault="0039740B" w:rsidP="00315646">
      <w:r w:rsidRPr="003D4EDE">
        <w:separator/>
      </w:r>
    </w:p>
  </w:endnote>
  <w:endnote w:type="continuationSeparator" w:id="0">
    <w:p w14:paraId="10B2BEE1" w14:textId="77777777" w:rsidR="0039740B" w:rsidRPr="003D4EDE" w:rsidRDefault="0039740B" w:rsidP="00315646">
      <w:r w:rsidRPr="003D4EDE">
        <w:continuationSeparator/>
      </w:r>
    </w:p>
  </w:endnote>
  <w:endnote w:type="continuationNotice" w:id="1">
    <w:p w14:paraId="35B5C288" w14:textId="77777777" w:rsidR="0039740B" w:rsidRDefault="003974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eb">
    <w:panose1 w:val="00000500000000000000"/>
    <w:charset w:val="4D"/>
    <w:family w:val="auto"/>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Times New Roman (Überschrifte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CA6" w14:textId="77777777" w:rsidR="00A6725F" w:rsidRPr="003D4EDE" w:rsidRDefault="00A6725F" w:rsidP="00057512">
    <w:pPr>
      <w:pStyle w:val="Footer"/>
      <w:tabs>
        <w:tab w:val="clear" w:pos="9360"/>
        <w:tab w:val="right" w:pos="9072"/>
      </w:tabs>
      <w:rPr>
        <w:sz w:val="22"/>
        <w:szCs w:val="22"/>
      </w:rPr>
    </w:pPr>
  </w:p>
  <w:p w14:paraId="3AAD5138" w14:textId="5FB8A0D4" w:rsidR="00D766C1" w:rsidRPr="003D4EDE" w:rsidRDefault="009F37F0" w:rsidP="00057512">
    <w:pPr>
      <w:pStyle w:val="Footer"/>
      <w:tabs>
        <w:tab w:val="clear" w:pos="9360"/>
        <w:tab w:val="right" w:pos="9072"/>
      </w:tabs>
      <w:rPr>
        <w:sz w:val="22"/>
        <w:szCs w:val="22"/>
      </w:rPr>
    </w:pPr>
    <w:r>
      <w:rPr>
        <w:sz w:val="22"/>
        <w:szCs w:val="22"/>
      </w:rPr>
      <w:t>De</w:t>
    </w:r>
    <w:r w:rsidR="005640DB">
      <w:rPr>
        <w:sz w:val="22"/>
        <w:szCs w:val="22"/>
      </w:rPr>
      <w:t>finition of NEBA Hub</w:t>
    </w:r>
    <w:r w:rsidR="00790FF7">
      <w:rPr>
        <w:sz w:val="22"/>
        <w:szCs w:val="22"/>
      </w:rPr>
      <w:t xml:space="preserve"> </w:t>
    </w:r>
    <w:r w:rsidR="00542822">
      <w:rPr>
        <w:sz w:val="22"/>
        <w:szCs w:val="22"/>
      </w:rPr>
      <w:t xml:space="preserve">| </w:t>
    </w:r>
    <w:r w:rsidR="00790FF7" w:rsidRPr="00790FF7">
      <w:rPr>
        <w:sz w:val="22"/>
        <w:szCs w:val="22"/>
      </w:rPr>
      <w:t>NEBA Allianc</w:t>
    </w:r>
    <w:r w:rsidR="00790FF7">
      <w:rPr>
        <w:sz w:val="22"/>
        <w:szCs w:val="22"/>
      </w:rPr>
      <w:t>e</w:t>
    </w:r>
    <w:r w:rsidR="00AC0B74" w:rsidRPr="003D4EDE">
      <w:rPr>
        <w:sz w:val="22"/>
        <w:szCs w:val="22"/>
      </w:rPr>
      <w:tab/>
    </w:r>
    <w:r w:rsidR="00014E8A" w:rsidRPr="003D4EDE">
      <w:rPr>
        <w:sz w:val="22"/>
        <w:szCs w:val="22"/>
      </w:rPr>
      <w:tab/>
    </w:r>
    <w:r w:rsidR="00014E8A" w:rsidRPr="003D4EDE">
      <w:rPr>
        <w:sz w:val="22"/>
        <w:szCs w:val="22"/>
      </w:rPr>
      <w:fldChar w:fldCharType="begin"/>
    </w:r>
    <w:r w:rsidR="00014E8A" w:rsidRPr="003D4EDE">
      <w:rPr>
        <w:sz w:val="22"/>
        <w:szCs w:val="22"/>
      </w:rPr>
      <w:instrText xml:space="preserve"> PAGE   \* MERGEFORMAT </w:instrText>
    </w:r>
    <w:r w:rsidR="00014E8A" w:rsidRPr="003D4EDE">
      <w:rPr>
        <w:sz w:val="22"/>
        <w:szCs w:val="22"/>
      </w:rPr>
      <w:fldChar w:fldCharType="separate"/>
    </w:r>
    <w:r w:rsidR="00014E8A" w:rsidRPr="003D4EDE">
      <w:rPr>
        <w:sz w:val="22"/>
        <w:szCs w:val="22"/>
      </w:rPr>
      <w:t>2</w:t>
    </w:r>
    <w:r w:rsidR="00014E8A" w:rsidRPr="003D4EDE">
      <w:rPr>
        <w:noProof/>
        <w:sz w:val="22"/>
        <w:szCs w:val="22"/>
      </w:rPr>
      <w:fldChar w:fldCharType="end"/>
    </w:r>
    <w:r w:rsidR="00014E8A" w:rsidRPr="003D4EDE">
      <w:rPr>
        <w:noProof/>
        <w:sz w:val="22"/>
        <w:szCs w:val="22"/>
      </w:rPr>
      <w:t xml:space="preserve"> </w:t>
    </w:r>
    <w:r w:rsidR="004701EB" w:rsidRPr="003D4EDE">
      <w:rPr>
        <w:noProof/>
        <w:sz w:val="22"/>
        <w:szCs w:val="22"/>
      </w:rPr>
      <w:t>|</w:t>
    </w:r>
    <w:r w:rsidR="00014E8A" w:rsidRPr="003D4EDE">
      <w:rPr>
        <w:noProof/>
        <w:sz w:val="22"/>
        <w:szCs w:val="22"/>
      </w:rPr>
      <w:t xml:space="preserve"> </w:t>
    </w:r>
    <w:r w:rsidR="00014E8A" w:rsidRPr="003D4EDE">
      <w:rPr>
        <w:noProof/>
        <w:sz w:val="22"/>
        <w:szCs w:val="22"/>
      </w:rPr>
      <w:fldChar w:fldCharType="begin"/>
    </w:r>
    <w:r w:rsidR="00014E8A" w:rsidRPr="003D4EDE">
      <w:rPr>
        <w:noProof/>
        <w:sz w:val="22"/>
        <w:szCs w:val="22"/>
      </w:rPr>
      <w:instrText xml:space="preserve"> NUMPAGES   \* MERGEFORMAT </w:instrText>
    </w:r>
    <w:r w:rsidR="00014E8A" w:rsidRPr="003D4EDE">
      <w:rPr>
        <w:noProof/>
        <w:sz w:val="22"/>
        <w:szCs w:val="22"/>
      </w:rPr>
      <w:fldChar w:fldCharType="separate"/>
    </w:r>
    <w:r w:rsidR="00014E8A" w:rsidRPr="003D4EDE">
      <w:rPr>
        <w:noProof/>
        <w:sz w:val="22"/>
        <w:szCs w:val="22"/>
      </w:rPr>
      <w:t>4</w:t>
    </w:r>
    <w:r w:rsidR="00014E8A" w:rsidRPr="003D4EDE">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D4" w14:textId="618E6B5D" w:rsidR="0029397C" w:rsidRPr="003D4EDE" w:rsidRDefault="005378F8" w:rsidP="00057512">
    <w:pPr>
      <w:pStyle w:val="Footer"/>
      <w:spacing w:after="100"/>
      <w:jc w:val="center"/>
      <w:rPr>
        <w:sz w:val="22"/>
        <w:szCs w:val="22"/>
      </w:rPr>
    </w:pPr>
    <w:r w:rsidRPr="003D4EDE">
      <w:rPr>
        <w:noProof/>
        <w:sz w:val="22"/>
        <w:szCs w:val="22"/>
      </w:rPr>
      <w:drawing>
        <wp:inline distT="0" distB="0" distL="0" distR="0" wp14:anchorId="2FB9B1C4" wp14:editId="56661358">
          <wp:extent cx="5760720" cy="744855"/>
          <wp:effectExtent l="0" t="0" r="0" b="0"/>
          <wp:docPr id="265967616" name="Picture 3" descr="A group of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67616" name="Picture 3" descr="A group of different colored symbo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inline>
      </w:drawing>
    </w:r>
  </w:p>
  <w:p w14:paraId="0894047F" w14:textId="77777777" w:rsidR="009A72A3" w:rsidRDefault="009A72A3" w:rsidP="007F5FA6">
    <w:pPr>
      <w:pStyle w:val="Footer"/>
      <w:spacing w:after="100"/>
      <w:jc w:val="center"/>
      <w:rPr>
        <w:sz w:val="22"/>
        <w:szCs w:val="22"/>
      </w:rPr>
    </w:pPr>
  </w:p>
  <w:p w14:paraId="717C2107" w14:textId="77777777" w:rsidR="00856A59" w:rsidRPr="003D4EDE" w:rsidRDefault="00856A59" w:rsidP="007F5FA6">
    <w:pPr>
      <w:pStyle w:val="Footer"/>
      <w:spacing w:after="100"/>
      <w:jc w:val="center"/>
      <w:rPr>
        <w:sz w:val="22"/>
        <w:szCs w:val="22"/>
      </w:rPr>
    </w:pPr>
  </w:p>
  <w:p w14:paraId="1D0380F9" w14:textId="0806B367" w:rsidR="008420F5" w:rsidRPr="003D4EDE" w:rsidRDefault="00E27EB2" w:rsidP="007F5FA6">
    <w:pPr>
      <w:pStyle w:val="Footer"/>
      <w:spacing w:after="100"/>
      <w:jc w:val="center"/>
      <w:rPr>
        <w:sz w:val="22"/>
        <w:szCs w:val="22"/>
      </w:rPr>
    </w:pPr>
    <w:r w:rsidRPr="003D4EDE">
      <w:rPr>
        <w:noProof/>
      </w:rPr>
      <w:drawing>
        <wp:inline distT="0" distB="0" distL="0" distR="0" wp14:anchorId="431808D5" wp14:editId="0A93D132">
          <wp:extent cx="3381375" cy="719735"/>
          <wp:effectExtent l="0" t="0" r="0" b="4445"/>
          <wp:docPr id="2092233594" name="Picture 5" descr="A blue and green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3594" name="Picture 5" descr="A blue and green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7146" cy="727349"/>
                  </a:xfrm>
                  <a:prstGeom prst="rect">
                    <a:avLst/>
                  </a:prstGeom>
                  <a:noFill/>
                  <a:ln>
                    <a:noFill/>
                  </a:ln>
                </pic:spPr>
              </pic:pic>
            </a:graphicData>
          </a:graphic>
        </wp:inline>
      </w:drawing>
    </w:r>
  </w:p>
  <w:p w14:paraId="7B928744" w14:textId="582D1429" w:rsidR="008420F5" w:rsidRPr="003D4EDE" w:rsidRDefault="00C2330A" w:rsidP="007F5FA6">
    <w:pPr>
      <w:pStyle w:val="Footer"/>
      <w:spacing w:after="100"/>
      <w:jc w:val="center"/>
      <w:rPr>
        <w:sz w:val="20"/>
        <w:szCs w:val="20"/>
      </w:rPr>
    </w:pPr>
    <w:r w:rsidRPr="00C2330A">
      <w:rPr>
        <w:sz w:val="20"/>
        <w:szCs w:val="20"/>
      </w:rPr>
      <w:t>Views and opinions expressed are however those of the author(s) only and do not necessarily reflect those of the European Union or CBE JU. Neither the European Union nor the Circular Bio-based Europe Joint Undertaking (CBE JU) can be held responsible for them. The project is supported by CBE JU and its members under Horizon Europe grant no. 101160532.</w:t>
    </w:r>
    <w:r w:rsidR="00AF6AB9">
      <w:rPr>
        <w:sz w:val="20"/>
        <w:szCs w:val="20"/>
      </w:rPr>
      <w:t xml:space="preserve">| </w:t>
    </w:r>
    <w:hyperlink r:id="rId3" w:history="1">
      <w:proofErr w:type="spellStart"/>
      <w:r w:rsidR="006746E9" w:rsidRPr="00B2367F">
        <w:rPr>
          <w:rStyle w:val="Hyperlink"/>
          <w:sz w:val="20"/>
          <w:szCs w:val="20"/>
        </w:rPr>
        <w:t>neb.academy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1C72" w14:textId="77777777" w:rsidR="0039740B" w:rsidRPr="003D4EDE" w:rsidRDefault="0039740B" w:rsidP="00315646">
      <w:bookmarkStart w:id="0" w:name="_Hlk169629396"/>
      <w:bookmarkEnd w:id="0"/>
      <w:r w:rsidRPr="003D4EDE">
        <w:separator/>
      </w:r>
    </w:p>
  </w:footnote>
  <w:footnote w:type="continuationSeparator" w:id="0">
    <w:p w14:paraId="36356885" w14:textId="77777777" w:rsidR="0039740B" w:rsidRPr="003D4EDE" w:rsidRDefault="0039740B" w:rsidP="00315646">
      <w:r w:rsidRPr="003D4EDE">
        <w:continuationSeparator/>
      </w:r>
    </w:p>
  </w:footnote>
  <w:footnote w:type="continuationNotice" w:id="1">
    <w:p w14:paraId="675CB77B" w14:textId="77777777" w:rsidR="0039740B" w:rsidRDefault="003974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54C" w14:textId="2DEA5B01" w:rsidR="0006215F" w:rsidRPr="003D4EDE" w:rsidRDefault="00D766C1" w:rsidP="00B73EF0">
    <w:pPr>
      <w:pStyle w:val="Header"/>
      <w:tabs>
        <w:tab w:val="clear" w:pos="9360"/>
        <w:tab w:val="right" w:pos="9072"/>
      </w:tabs>
      <w:rPr>
        <w:sz w:val="22"/>
        <w:szCs w:val="22"/>
      </w:rPr>
    </w:pPr>
    <w:r w:rsidRPr="003D4EDE">
      <w:rPr>
        <w:noProof/>
        <w:sz w:val="22"/>
        <w:szCs w:val="22"/>
        <w14:ligatures w14:val="standardContextual"/>
      </w:rPr>
      <w:drawing>
        <wp:inline distT="0" distB="0" distL="0" distR="0" wp14:anchorId="35192403" wp14:editId="03515FA2">
          <wp:extent cx="1954005" cy="390500"/>
          <wp:effectExtent l="0" t="0" r="0" b="0"/>
          <wp:docPr id="2100149489"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51" cy="406037"/>
                  </a:xfrm>
                  <a:prstGeom prst="rect">
                    <a:avLst/>
                  </a:prstGeom>
                </pic:spPr>
              </pic:pic>
            </a:graphicData>
          </a:graphic>
        </wp:inline>
      </w:drawing>
    </w:r>
    <w:r w:rsidR="00704856" w:rsidRPr="003D4EDE">
      <w:rPr>
        <w:sz w:val="22"/>
        <w:szCs w:val="22"/>
      </w:rPr>
      <w:tab/>
    </w:r>
    <w:r w:rsidR="00704856" w:rsidRPr="003D4EDE">
      <w:rPr>
        <w:sz w:val="22"/>
        <w:szCs w:val="22"/>
      </w:rPr>
      <w:tab/>
    </w:r>
    <w:r w:rsidR="005977B3" w:rsidRPr="003D4EDE">
      <w:rPr>
        <w:noProof/>
        <w:sz w:val="22"/>
        <w:szCs w:val="22"/>
        <w14:ligatures w14:val="standardContextual"/>
      </w:rPr>
      <w:drawing>
        <wp:inline distT="0" distB="0" distL="0" distR="0" wp14:anchorId="4EEECD0C" wp14:editId="4E979B52">
          <wp:extent cx="1322070" cy="277471"/>
          <wp:effectExtent l="0" t="0" r="0" b="8890"/>
          <wp:docPr id="20165637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3777" name="Picture 1" descr="Blue text on a black background&#10;&#10;Description automatically generated"/>
                  <pic:cNvPicPr/>
                </pic:nvPicPr>
                <pic:blipFill>
                  <a:blip r:embed="rId2"/>
                  <a:stretch>
                    <a:fillRect/>
                  </a:stretch>
                </pic:blipFill>
                <pic:spPr>
                  <a:xfrm>
                    <a:off x="0" y="0"/>
                    <a:ext cx="1364273" cy="286329"/>
                  </a:xfrm>
                  <a:prstGeom prst="rect">
                    <a:avLst/>
                  </a:prstGeom>
                </pic:spPr>
              </pic:pic>
            </a:graphicData>
          </a:graphic>
        </wp:inline>
      </w:drawing>
    </w:r>
  </w:p>
  <w:p w14:paraId="54AA87CD" w14:textId="77777777" w:rsidR="00B73EF0" w:rsidRPr="003D4EDE" w:rsidRDefault="00B73EF0" w:rsidP="00B73EF0">
    <w:pPr>
      <w:pStyle w:val="Header"/>
      <w:tabs>
        <w:tab w:val="clear" w:pos="9360"/>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DE7" w14:textId="39B6225F" w:rsidR="008420F5" w:rsidRPr="003D4EDE" w:rsidRDefault="00A273C4" w:rsidP="00057512">
    <w:pPr>
      <w:pStyle w:val="Header"/>
      <w:tabs>
        <w:tab w:val="clear" w:pos="9360"/>
        <w:tab w:val="right" w:pos="9072"/>
      </w:tabs>
      <w:spacing w:after="100"/>
      <w:rPr>
        <w:sz w:val="22"/>
        <w:szCs w:val="22"/>
      </w:rPr>
    </w:pPr>
    <w:r w:rsidRPr="003D4EDE">
      <w:rPr>
        <w:noProof/>
        <w:sz w:val="22"/>
        <w:szCs w:val="22"/>
        <w14:ligatures w14:val="standardContextual"/>
      </w:rPr>
      <w:drawing>
        <wp:inline distT="0" distB="0" distL="0" distR="0" wp14:anchorId="443C82C2" wp14:editId="72378A0D">
          <wp:extent cx="5760720" cy="1151772"/>
          <wp:effectExtent l="0" t="0" r="0" b="0"/>
          <wp:docPr id="9336803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772"/>
                  </a:xfrm>
                  <a:prstGeom prst="rect">
                    <a:avLst/>
                  </a:prstGeom>
                </pic:spPr>
              </pic:pic>
            </a:graphicData>
          </a:graphic>
        </wp:inline>
      </w:drawing>
    </w:r>
  </w:p>
  <w:p w14:paraId="5C348F1B" w14:textId="77777777" w:rsidR="00B73EF0" w:rsidRPr="003D4EDE" w:rsidRDefault="00B73EF0" w:rsidP="00057512">
    <w:pPr>
      <w:pStyle w:val="Header"/>
      <w:tabs>
        <w:tab w:val="clear" w:pos="9360"/>
        <w:tab w:val="right" w:pos="9072"/>
      </w:tabs>
      <w:spacing w:after="10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06"/>
    <w:multiLevelType w:val="hybridMultilevel"/>
    <w:tmpl w:val="886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A4E"/>
    <w:multiLevelType w:val="hybridMultilevel"/>
    <w:tmpl w:val="8C003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1A3307"/>
    <w:multiLevelType w:val="hybridMultilevel"/>
    <w:tmpl w:val="F4340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4755E"/>
    <w:multiLevelType w:val="hybridMultilevel"/>
    <w:tmpl w:val="D1F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A705A"/>
    <w:multiLevelType w:val="hybridMultilevel"/>
    <w:tmpl w:val="279AC188"/>
    <w:lvl w:ilvl="0" w:tplc="0A68A44E">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0B27FC"/>
    <w:multiLevelType w:val="hybridMultilevel"/>
    <w:tmpl w:val="378C7B0A"/>
    <w:lvl w:ilvl="0" w:tplc="CAD8751C">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95FA7"/>
    <w:multiLevelType w:val="hybridMultilevel"/>
    <w:tmpl w:val="9E3E618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6D27B6"/>
    <w:multiLevelType w:val="hybridMultilevel"/>
    <w:tmpl w:val="4766702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0B6973C9"/>
    <w:multiLevelType w:val="multilevel"/>
    <w:tmpl w:val="51D00A96"/>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0E130F5C"/>
    <w:multiLevelType w:val="multilevel"/>
    <w:tmpl w:val="D50A5EAC"/>
    <w:lvl w:ilvl="0">
      <w:start w:val="1"/>
      <w:numFmt w:val="decimal"/>
      <w:pStyle w:val="Heading1"/>
      <w:lvlText w:val="%1."/>
      <w:lvlJc w:val="left"/>
      <w:pPr>
        <w:ind w:left="720" w:hanging="360"/>
      </w:pPr>
      <w:rPr>
        <w:rFonts w:hint="default"/>
        <w:sz w:val="36"/>
        <w:szCs w:val="36"/>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0E5E5EEF"/>
    <w:multiLevelType w:val="hybridMultilevel"/>
    <w:tmpl w:val="3E1E931E"/>
    <w:lvl w:ilvl="0" w:tplc="EBC48468">
      <w:start w:val="5"/>
      <w:numFmt w:val="bullet"/>
      <w:lvlText w:val="-"/>
      <w:lvlJc w:val="left"/>
      <w:pPr>
        <w:ind w:left="1060" w:hanging="700"/>
      </w:pPr>
      <w:rPr>
        <w:rFonts w:ascii="Titillium Web" w:eastAsiaTheme="minorHAnsi" w:hAnsi="Titillium Web" w:cstheme="minorBidi" w:hint="default"/>
      </w:rPr>
    </w:lvl>
    <w:lvl w:ilvl="1" w:tplc="6548D4C8">
      <w:start w:val="5"/>
      <w:numFmt w:val="bullet"/>
      <w:lvlText w:val=""/>
      <w:lvlJc w:val="left"/>
      <w:pPr>
        <w:ind w:left="1780" w:hanging="70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A1048"/>
    <w:multiLevelType w:val="hybridMultilevel"/>
    <w:tmpl w:val="AAF4D3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143437A7"/>
    <w:multiLevelType w:val="multilevel"/>
    <w:tmpl w:val="663ED0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3" w15:restartNumberingAfterBreak="0">
    <w:nsid w:val="16D2328A"/>
    <w:multiLevelType w:val="hybridMultilevel"/>
    <w:tmpl w:val="18B8A6FC"/>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74C2C"/>
    <w:multiLevelType w:val="hybridMultilevel"/>
    <w:tmpl w:val="3B72F910"/>
    <w:lvl w:ilvl="0" w:tplc="627EF55A">
      <w:start w:val="5"/>
      <w:numFmt w:val="bullet"/>
      <w:lvlText w:val=""/>
      <w:lvlJc w:val="left"/>
      <w:pPr>
        <w:ind w:left="1060" w:hanging="70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0181D"/>
    <w:multiLevelType w:val="hybridMultilevel"/>
    <w:tmpl w:val="9B0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2698F"/>
    <w:multiLevelType w:val="hybridMultilevel"/>
    <w:tmpl w:val="ACFA9242"/>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344162"/>
    <w:multiLevelType w:val="hybridMultilevel"/>
    <w:tmpl w:val="26B69EB8"/>
    <w:lvl w:ilvl="0" w:tplc="7376F8EA">
      <w:start w:val="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B400E7A"/>
    <w:multiLevelType w:val="multilevel"/>
    <w:tmpl w:val="1B668AD6"/>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1B6A76B0"/>
    <w:multiLevelType w:val="hybridMultilevel"/>
    <w:tmpl w:val="27EAA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5B0480"/>
    <w:multiLevelType w:val="hybridMultilevel"/>
    <w:tmpl w:val="B66A7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7C5A1E"/>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2" w15:restartNumberingAfterBreak="0">
    <w:nsid w:val="21A20DA6"/>
    <w:multiLevelType w:val="hybridMultilevel"/>
    <w:tmpl w:val="353E0F7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135A41"/>
    <w:multiLevelType w:val="hybridMultilevel"/>
    <w:tmpl w:val="74849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B9536F"/>
    <w:multiLevelType w:val="hybridMultilevel"/>
    <w:tmpl w:val="39C4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936333"/>
    <w:multiLevelType w:val="hybridMultilevel"/>
    <w:tmpl w:val="D91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FC1661"/>
    <w:multiLevelType w:val="hybridMultilevel"/>
    <w:tmpl w:val="68C84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5607EC3"/>
    <w:multiLevelType w:val="multilevel"/>
    <w:tmpl w:val="85E04EA4"/>
    <w:lvl w:ilvl="0">
      <w:start w:val="5"/>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25E15720"/>
    <w:multiLevelType w:val="multilevel"/>
    <w:tmpl w:val="651ECE76"/>
    <w:lvl w:ilvl="0">
      <w:start w:val="1"/>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15:restartNumberingAfterBreak="0">
    <w:nsid w:val="26BC21FF"/>
    <w:multiLevelType w:val="hybridMultilevel"/>
    <w:tmpl w:val="D04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F94C05"/>
    <w:multiLevelType w:val="hybridMultilevel"/>
    <w:tmpl w:val="513A8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04733F"/>
    <w:multiLevelType w:val="hybridMultilevel"/>
    <w:tmpl w:val="F6A80D1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207F65"/>
    <w:multiLevelType w:val="hybridMultilevel"/>
    <w:tmpl w:val="35625FE8"/>
    <w:lvl w:ilvl="0" w:tplc="08090001">
      <w:start w:val="1"/>
      <w:numFmt w:val="bullet"/>
      <w:lvlText w:val=""/>
      <w:lvlJc w:val="left"/>
      <w:pPr>
        <w:ind w:left="3644" w:hanging="360"/>
      </w:pPr>
      <w:rPr>
        <w:rFonts w:ascii="Symbol" w:hAnsi="Symbol" w:hint="default"/>
      </w:rPr>
    </w:lvl>
    <w:lvl w:ilvl="1" w:tplc="08090003" w:tentative="1">
      <w:start w:val="1"/>
      <w:numFmt w:val="bullet"/>
      <w:lvlText w:val="o"/>
      <w:lvlJc w:val="left"/>
      <w:pPr>
        <w:ind w:left="4364" w:hanging="360"/>
      </w:pPr>
      <w:rPr>
        <w:rFonts w:ascii="Courier New" w:hAnsi="Courier New" w:cs="Courier New" w:hint="default"/>
      </w:rPr>
    </w:lvl>
    <w:lvl w:ilvl="2" w:tplc="08090005" w:tentative="1">
      <w:start w:val="1"/>
      <w:numFmt w:val="bullet"/>
      <w:lvlText w:val=""/>
      <w:lvlJc w:val="left"/>
      <w:pPr>
        <w:ind w:left="5084" w:hanging="360"/>
      </w:pPr>
      <w:rPr>
        <w:rFonts w:ascii="Wingdings" w:hAnsi="Wingdings" w:hint="default"/>
      </w:rPr>
    </w:lvl>
    <w:lvl w:ilvl="3" w:tplc="08090001" w:tentative="1">
      <w:start w:val="1"/>
      <w:numFmt w:val="bullet"/>
      <w:lvlText w:val=""/>
      <w:lvlJc w:val="left"/>
      <w:pPr>
        <w:ind w:left="5804" w:hanging="360"/>
      </w:pPr>
      <w:rPr>
        <w:rFonts w:ascii="Symbol" w:hAnsi="Symbol" w:hint="default"/>
      </w:rPr>
    </w:lvl>
    <w:lvl w:ilvl="4" w:tplc="08090003" w:tentative="1">
      <w:start w:val="1"/>
      <w:numFmt w:val="bullet"/>
      <w:lvlText w:val="o"/>
      <w:lvlJc w:val="left"/>
      <w:pPr>
        <w:ind w:left="6524" w:hanging="360"/>
      </w:pPr>
      <w:rPr>
        <w:rFonts w:ascii="Courier New" w:hAnsi="Courier New" w:cs="Courier New" w:hint="default"/>
      </w:rPr>
    </w:lvl>
    <w:lvl w:ilvl="5" w:tplc="08090005" w:tentative="1">
      <w:start w:val="1"/>
      <w:numFmt w:val="bullet"/>
      <w:lvlText w:val=""/>
      <w:lvlJc w:val="left"/>
      <w:pPr>
        <w:ind w:left="7244" w:hanging="360"/>
      </w:pPr>
      <w:rPr>
        <w:rFonts w:ascii="Wingdings" w:hAnsi="Wingdings" w:hint="default"/>
      </w:rPr>
    </w:lvl>
    <w:lvl w:ilvl="6" w:tplc="08090001" w:tentative="1">
      <w:start w:val="1"/>
      <w:numFmt w:val="bullet"/>
      <w:lvlText w:val=""/>
      <w:lvlJc w:val="left"/>
      <w:pPr>
        <w:ind w:left="7964" w:hanging="360"/>
      </w:pPr>
      <w:rPr>
        <w:rFonts w:ascii="Symbol" w:hAnsi="Symbol" w:hint="default"/>
      </w:rPr>
    </w:lvl>
    <w:lvl w:ilvl="7" w:tplc="08090003" w:tentative="1">
      <w:start w:val="1"/>
      <w:numFmt w:val="bullet"/>
      <w:lvlText w:val="o"/>
      <w:lvlJc w:val="left"/>
      <w:pPr>
        <w:ind w:left="8684" w:hanging="360"/>
      </w:pPr>
      <w:rPr>
        <w:rFonts w:ascii="Courier New" w:hAnsi="Courier New" w:cs="Courier New" w:hint="default"/>
      </w:rPr>
    </w:lvl>
    <w:lvl w:ilvl="8" w:tplc="08090005" w:tentative="1">
      <w:start w:val="1"/>
      <w:numFmt w:val="bullet"/>
      <w:lvlText w:val=""/>
      <w:lvlJc w:val="left"/>
      <w:pPr>
        <w:ind w:left="9404" w:hanging="360"/>
      </w:pPr>
      <w:rPr>
        <w:rFonts w:ascii="Wingdings" w:hAnsi="Wingdings" w:hint="default"/>
      </w:rPr>
    </w:lvl>
  </w:abstractNum>
  <w:abstractNum w:abstractNumId="33" w15:restartNumberingAfterBreak="0">
    <w:nsid w:val="287A0A6E"/>
    <w:multiLevelType w:val="hybridMultilevel"/>
    <w:tmpl w:val="85163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AC5655"/>
    <w:multiLevelType w:val="hybridMultilevel"/>
    <w:tmpl w:val="21C87CB0"/>
    <w:lvl w:ilvl="0" w:tplc="F7A06620">
      <w:start w:val="1"/>
      <w:numFmt w:val="bullet"/>
      <w:lvlText w:val=""/>
      <w:lvlJc w:val="left"/>
      <w:pPr>
        <w:ind w:left="672" w:hanging="359"/>
      </w:pPr>
      <w:rPr>
        <w:rFonts w:ascii="Symbol" w:hAnsi="Symbol" w:hint="default"/>
        <w:b w:val="0"/>
        <w:bCs w:val="0"/>
        <w:i w:val="0"/>
        <w:iCs w:val="0"/>
        <w:w w:val="100"/>
        <w:sz w:val="22"/>
        <w:szCs w:val="22"/>
        <w:lang w:val="it-IT"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A023D9E"/>
    <w:multiLevelType w:val="hybridMultilevel"/>
    <w:tmpl w:val="39DC0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552D98"/>
    <w:multiLevelType w:val="hybridMultilevel"/>
    <w:tmpl w:val="AC48D2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D73201"/>
    <w:multiLevelType w:val="hybridMultilevel"/>
    <w:tmpl w:val="3878B51C"/>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C57011"/>
    <w:multiLevelType w:val="hybridMultilevel"/>
    <w:tmpl w:val="109A2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D956A27"/>
    <w:multiLevelType w:val="hybridMultilevel"/>
    <w:tmpl w:val="32D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BA680A"/>
    <w:multiLevelType w:val="hybridMultilevel"/>
    <w:tmpl w:val="F0C09F96"/>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F8479B"/>
    <w:multiLevelType w:val="hybridMultilevel"/>
    <w:tmpl w:val="AC129CEA"/>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48797D"/>
    <w:multiLevelType w:val="hybridMultilevel"/>
    <w:tmpl w:val="656E92AE"/>
    <w:lvl w:ilvl="0" w:tplc="2AA2152A">
      <w:start w:val="4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70690B"/>
    <w:multiLevelType w:val="hybridMultilevel"/>
    <w:tmpl w:val="4A948718"/>
    <w:lvl w:ilvl="0" w:tplc="FFFFFFFF">
      <w:start w:val="1"/>
      <w:numFmt w:val="decimal"/>
      <w:lvlText w:val="%1."/>
      <w:lvlJc w:val="left"/>
      <w:pPr>
        <w:ind w:left="720" w:hanging="360"/>
      </w:pPr>
      <w:rPr>
        <w:rFonts w:hint="default"/>
      </w:rPr>
    </w:lvl>
    <w:lvl w:ilvl="1" w:tplc="4E0A350C">
      <w:numFmt w:val="bullet"/>
      <w:lvlText w:val="•"/>
      <w:lvlJc w:val="left"/>
      <w:pPr>
        <w:ind w:left="1440" w:hanging="360"/>
      </w:pPr>
      <w:rPr>
        <w:rFonts w:ascii="Titillium Web" w:eastAsiaTheme="minorHAnsi" w:hAnsi="Titillium Web"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2E3A05"/>
    <w:multiLevelType w:val="multilevel"/>
    <w:tmpl w:val="357C5236"/>
    <w:lvl w:ilvl="0">
      <w:start w:val="8"/>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5" w15:restartNumberingAfterBreak="0">
    <w:nsid w:val="36354A92"/>
    <w:multiLevelType w:val="multilevel"/>
    <w:tmpl w:val="FDF0A64A"/>
    <w:lvl w:ilvl="0">
      <w:start w:val="8"/>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6" w15:restartNumberingAfterBreak="0">
    <w:nsid w:val="36D53710"/>
    <w:multiLevelType w:val="hybridMultilevel"/>
    <w:tmpl w:val="64FA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9386BB6"/>
    <w:multiLevelType w:val="multilevel"/>
    <w:tmpl w:val="DB4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1E63A9"/>
    <w:multiLevelType w:val="hybridMultilevel"/>
    <w:tmpl w:val="0E34303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9E54BA"/>
    <w:multiLevelType w:val="hybridMultilevel"/>
    <w:tmpl w:val="637040E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B30749"/>
    <w:multiLevelType w:val="hybridMultilevel"/>
    <w:tmpl w:val="7E2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827C77"/>
    <w:multiLevelType w:val="hybridMultilevel"/>
    <w:tmpl w:val="3CD05A7C"/>
    <w:lvl w:ilvl="0" w:tplc="74346AF8">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D14620E"/>
    <w:multiLevelType w:val="hybridMultilevel"/>
    <w:tmpl w:val="E1446CF6"/>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04A88"/>
    <w:multiLevelType w:val="multilevel"/>
    <w:tmpl w:val="FDA08BFE"/>
    <w:lvl w:ilvl="0">
      <w:start w:val="8"/>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4" w15:restartNumberingAfterBreak="0">
    <w:nsid w:val="419A64F3"/>
    <w:multiLevelType w:val="hybridMultilevel"/>
    <w:tmpl w:val="F5E0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E522F6"/>
    <w:multiLevelType w:val="hybridMultilevel"/>
    <w:tmpl w:val="3F5CF984"/>
    <w:lvl w:ilvl="0" w:tplc="EA6491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416954"/>
    <w:multiLevelType w:val="hybridMultilevel"/>
    <w:tmpl w:val="1BEE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2D35DCF"/>
    <w:multiLevelType w:val="hybridMultilevel"/>
    <w:tmpl w:val="6A06FBF4"/>
    <w:lvl w:ilvl="0" w:tplc="AB1832D4">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36D70DD"/>
    <w:multiLevelType w:val="hybridMultilevel"/>
    <w:tmpl w:val="3D86BF2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9E2987"/>
    <w:multiLevelType w:val="multilevel"/>
    <w:tmpl w:val="B1BABBDA"/>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60" w15:restartNumberingAfterBreak="0">
    <w:nsid w:val="4658556F"/>
    <w:multiLevelType w:val="hybridMultilevel"/>
    <w:tmpl w:val="8BB2AA68"/>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4A1680"/>
    <w:multiLevelType w:val="hybridMultilevel"/>
    <w:tmpl w:val="A4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7F67D09"/>
    <w:multiLevelType w:val="hybridMultilevel"/>
    <w:tmpl w:val="75F81D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85109F6"/>
    <w:multiLevelType w:val="hybridMultilevel"/>
    <w:tmpl w:val="ACF49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BD315AC"/>
    <w:multiLevelType w:val="hybridMultilevel"/>
    <w:tmpl w:val="3E06F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FD6FD7"/>
    <w:multiLevelType w:val="multilevel"/>
    <w:tmpl w:val="A6C8DA84"/>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6" w15:restartNumberingAfterBreak="0">
    <w:nsid w:val="4E5D0E43"/>
    <w:multiLevelType w:val="multilevel"/>
    <w:tmpl w:val="21FAF0A6"/>
    <w:lvl w:ilvl="0">
      <w:start w:val="3"/>
      <w:numFmt w:val="decimal"/>
      <w:lvlText w:val="%1"/>
      <w:lvlJc w:val="left"/>
      <w:pPr>
        <w:ind w:left="1393" w:hanging="721"/>
      </w:pPr>
      <w:rPr>
        <w:lang w:val="it-IT" w:eastAsia="en-US" w:bidi="ar-SA"/>
      </w:rPr>
    </w:lvl>
    <w:lvl w:ilvl="1">
      <w:start w:val="1"/>
      <w:numFmt w:val="decimal"/>
      <w:lvlText w:val="%1.%2"/>
      <w:lvlJc w:val="left"/>
      <w:pPr>
        <w:ind w:left="1393" w:hanging="721"/>
      </w:pPr>
      <w:rPr>
        <w:lang w:val="it-IT" w:eastAsia="en-US" w:bidi="ar-SA"/>
      </w:rPr>
    </w:lvl>
    <w:lvl w:ilvl="2">
      <w:start w:val="1"/>
      <w:numFmt w:val="decimal"/>
      <w:lvlText w:val="%1.%2.%3"/>
      <w:lvlJc w:val="left"/>
      <w:pPr>
        <w:ind w:left="1393" w:hanging="721"/>
      </w:pPr>
      <w:rPr>
        <w:rFonts w:ascii="Calibri" w:eastAsia="Calibri" w:hAnsi="Calibri" w:cs="Calibri" w:hint="default"/>
        <w:b/>
        <w:bCs/>
        <w:i w:val="0"/>
        <w:iCs w:val="0"/>
        <w:color w:val="808080"/>
        <w:spacing w:val="-1"/>
        <w:w w:val="100"/>
        <w:sz w:val="28"/>
        <w:szCs w:val="28"/>
        <w:lang w:val="it-IT" w:eastAsia="en-US" w:bidi="ar-SA"/>
      </w:rPr>
    </w:lvl>
    <w:lvl w:ilvl="3">
      <w:start w:val="1"/>
      <w:numFmt w:val="bullet"/>
      <w:lvlText w:val=""/>
      <w:lvlJc w:val="left"/>
      <w:pPr>
        <w:ind w:left="1393" w:hanging="360"/>
      </w:pPr>
      <w:rPr>
        <w:rFonts w:ascii="Symbol" w:hAnsi="Symbol" w:hint="default"/>
      </w:rPr>
    </w:lvl>
    <w:lvl w:ilvl="4">
      <w:numFmt w:val="bullet"/>
      <w:lvlText w:val="•"/>
      <w:lvlJc w:val="left"/>
      <w:pPr>
        <w:ind w:left="5178" w:hanging="360"/>
      </w:pPr>
      <w:rPr>
        <w:lang w:val="it-IT" w:eastAsia="en-US" w:bidi="ar-SA"/>
      </w:rPr>
    </w:lvl>
    <w:lvl w:ilvl="5">
      <w:numFmt w:val="bullet"/>
      <w:lvlText w:val="•"/>
      <w:lvlJc w:val="left"/>
      <w:pPr>
        <w:ind w:left="6123" w:hanging="360"/>
      </w:pPr>
      <w:rPr>
        <w:lang w:val="it-IT" w:eastAsia="en-US" w:bidi="ar-SA"/>
      </w:rPr>
    </w:lvl>
    <w:lvl w:ilvl="6">
      <w:numFmt w:val="bullet"/>
      <w:lvlText w:val="•"/>
      <w:lvlJc w:val="left"/>
      <w:pPr>
        <w:ind w:left="7067" w:hanging="360"/>
      </w:pPr>
      <w:rPr>
        <w:lang w:val="it-IT" w:eastAsia="en-US" w:bidi="ar-SA"/>
      </w:rPr>
    </w:lvl>
    <w:lvl w:ilvl="7">
      <w:numFmt w:val="bullet"/>
      <w:lvlText w:val="•"/>
      <w:lvlJc w:val="left"/>
      <w:pPr>
        <w:ind w:left="8012" w:hanging="360"/>
      </w:pPr>
      <w:rPr>
        <w:lang w:val="it-IT" w:eastAsia="en-US" w:bidi="ar-SA"/>
      </w:rPr>
    </w:lvl>
    <w:lvl w:ilvl="8">
      <w:numFmt w:val="bullet"/>
      <w:lvlText w:val="•"/>
      <w:lvlJc w:val="left"/>
      <w:pPr>
        <w:ind w:left="8957" w:hanging="360"/>
      </w:pPr>
      <w:rPr>
        <w:lang w:val="it-IT" w:eastAsia="en-US" w:bidi="ar-SA"/>
      </w:rPr>
    </w:lvl>
  </w:abstractNum>
  <w:abstractNum w:abstractNumId="67" w15:restartNumberingAfterBreak="0">
    <w:nsid w:val="4EFA1ECD"/>
    <w:multiLevelType w:val="hybridMultilevel"/>
    <w:tmpl w:val="C6E8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DD00C0"/>
    <w:multiLevelType w:val="hybridMultilevel"/>
    <w:tmpl w:val="C7DCE2B0"/>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32458BA"/>
    <w:multiLevelType w:val="hybridMultilevel"/>
    <w:tmpl w:val="603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3F22063"/>
    <w:multiLevelType w:val="hybridMultilevel"/>
    <w:tmpl w:val="428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4A5EE7"/>
    <w:multiLevelType w:val="hybridMultilevel"/>
    <w:tmpl w:val="04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8B306ED"/>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3" w15:restartNumberingAfterBreak="0">
    <w:nsid w:val="6268744A"/>
    <w:multiLevelType w:val="hybridMultilevel"/>
    <w:tmpl w:val="0124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52C2086"/>
    <w:multiLevelType w:val="hybridMultilevel"/>
    <w:tmpl w:val="31DC50F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55001F7"/>
    <w:multiLevelType w:val="hybridMultilevel"/>
    <w:tmpl w:val="424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893C07"/>
    <w:multiLevelType w:val="hybridMultilevel"/>
    <w:tmpl w:val="14541DF2"/>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F70BE8"/>
    <w:multiLevelType w:val="hybridMultilevel"/>
    <w:tmpl w:val="07047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6C09701C"/>
    <w:multiLevelType w:val="hybridMultilevel"/>
    <w:tmpl w:val="0D9EE5B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D0120C1"/>
    <w:multiLevelType w:val="hybridMultilevel"/>
    <w:tmpl w:val="67A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FB667FD"/>
    <w:multiLevelType w:val="hybridMultilevel"/>
    <w:tmpl w:val="27A2D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0024464"/>
    <w:multiLevelType w:val="hybridMultilevel"/>
    <w:tmpl w:val="D24E9E38"/>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6E4A26"/>
    <w:multiLevelType w:val="hybridMultilevel"/>
    <w:tmpl w:val="A656D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174314B"/>
    <w:multiLevelType w:val="hybridMultilevel"/>
    <w:tmpl w:val="A64E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7AD07FA"/>
    <w:multiLevelType w:val="hybridMultilevel"/>
    <w:tmpl w:val="49BAE79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9132410"/>
    <w:multiLevelType w:val="hybridMultilevel"/>
    <w:tmpl w:val="3FC82D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9AF11E9"/>
    <w:multiLevelType w:val="multilevel"/>
    <w:tmpl w:val="AE5A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E46E73"/>
    <w:multiLevelType w:val="hybridMultilevel"/>
    <w:tmpl w:val="3BAEDEC0"/>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64202E"/>
    <w:multiLevelType w:val="hybridMultilevel"/>
    <w:tmpl w:val="9EE6685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581F4C"/>
    <w:multiLevelType w:val="hybridMultilevel"/>
    <w:tmpl w:val="A08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9A6AEA"/>
    <w:multiLevelType w:val="hybridMultilevel"/>
    <w:tmpl w:val="DCE6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055224"/>
    <w:multiLevelType w:val="multilevel"/>
    <w:tmpl w:val="F5E023F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88731">
    <w:abstractNumId w:val="9"/>
  </w:num>
  <w:num w:numId="2" w16cid:durableId="287200500">
    <w:abstractNumId w:val="34"/>
  </w:num>
  <w:num w:numId="3" w16cid:durableId="1675261647">
    <w:abstractNumId w:val="79"/>
  </w:num>
  <w:num w:numId="4" w16cid:durableId="966353556">
    <w:abstractNumId w:val="66"/>
  </w:num>
  <w:num w:numId="5" w16cid:durableId="1781803459">
    <w:abstractNumId w:val="86"/>
  </w:num>
  <w:num w:numId="6" w16cid:durableId="375131218">
    <w:abstractNumId w:val="47"/>
  </w:num>
  <w:num w:numId="7" w16cid:durableId="1135682029">
    <w:abstractNumId w:val="30"/>
  </w:num>
  <w:num w:numId="8" w16cid:durableId="1417357922">
    <w:abstractNumId w:val="38"/>
  </w:num>
  <w:num w:numId="9" w16cid:durableId="982780684">
    <w:abstractNumId w:val="55"/>
  </w:num>
  <w:num w:numId="10" w16cid:durableId="77751554">
    <w:abstractNumId w:val="63"/>
  </w:num>
  <w:num w:numId="11" w16cid:durableId="229845881">
    <w:abstractNumId w:val="56"/>
  </w:num>
  <w:num w:numId="12" w16cid:durableId="511142889">
    <w:abstractNumId w:val="17"/>
  </w:num>
  <w:num w:numId="13" w16cid:durableId="2044623687">
    <w:abstractNumId w:val="32"/>
  </w:num>
  <w:num w:numId="14" w16cid:durableId="634288984">
    <w:abstractNumId w:val="40"/>
  </w:num>
  <w:num w:numId="15" w16cid:durableId="1784496763">
    <w:abstractNumId w:val="25"/>
  </w:num>
  <w:num w:numId="16" w16cid:durableId="259027676">
    <w:abstractNumId w:val="50"/>
  </w:num>
  <w:num w:numId="17" w16cid:durableId="502161309">
    <w:abstractNumId w:val="61"/>
  </w:num>
  <w:num w:numId="18" w16cid:durableId="299311501">
    <w:abstractNumId w:val="60"/>
  </w:num>
  <w:num w:numId="19" w16cid:durableId="441610159">
    <w:abstractNumId w:val="77"/>
  </w:num>
  <w:num w:numId="20" w16cid:durableId="646320024">
    <w:abstractNumId w:val="82"/>
  </w:num>
  <w:num w:numId="21" w16cid:durableId="1576739426">
    <w:abstractNumId w:val="70"/>
  </w:num>
  <w:num w:numId="22" w16cid:durableId="1522666248">
    <w:abstractNumId w:val="75"/>
  </w:num>
  <w:num w:numId="23" w16cid:durableId="1466118631">
    <w:abstractNumId w:val="46"/>
  </w:num>
  <w:num w:numId="24" w16cid:durableId="1883249162">
    <w:abstractNumId w:val="20"/>
  </w:num>
  <w:num w:numId="25" w16cid:durableId="1123109970">
    <w:abstractNumId w:val="29"/>
  </w:num>
  <w:num w:numId="26" w16cid:durableId="1704596454">
    <w:abstractNumId w:val="7"/>
  </w:num>
  <w:num w:numId="27" w16cid:durableId="713503513">
    <w:abstractNumId w:val="11"/>
  </w:num>
  <w:num w:numId="28" w16cid:durableId="51849367">
    <w:abstractNumId w:val="80"/>
  </w:num>
  <w:num w:numId="29" w16cid:durableId="2131242173">
    <w:abstractNumId w:val="4"/>
  </w:num>
  <w:num w:numId="30" w16cid:durableId="620847407">
    <w:abstractNumId w:val="26"/>
  </w:num>
  <w:num w:numId="31" w16cid:durableId="963775214">
    <w:abstractNumId w:val="83"/>
  </w:num>
  <w:num w:numId="32" w16cid:durableId="1807816776">
    <w:abstractNumId w:val="35"/>
  </w:num>
  <w:num w:numId="33" w16cid:durableId="815339424">
    <w:abstractNumId w:val="1"/>
  </w:num>
  <w:num w:numId="34" w16cid:durableId="998190901">
    <w:abstractNumId w:val="54"/>
  </w:num>
  <w:num w:numId="35" w16cid:durableId="1992178429">
    <w:abstractNumId w:val="91"/>
  </w:num>
  <w:num w:numId="36" w16cid:durableId="863787604">
    <w:abstractNumId w:val="19"/>
  </w:num>
  <w:num w:numId="37" w16cid:durableId="1764259690">
    <w:abstractNumId w:val="0"/>
  </w:num>
  <w:num w:numId="38" w16cid:durableId="98571168">
    <w:abstractNumId w:val="15"/>
  </w:num>
  <w:num w:numId="39" w16cid:durableId="672338295">
    <w:abstractNumId w:val="39"/>
  </w:num>
  <w:num w:numId="40" w16cid:durableId="1039162642">
    <w:abstractNumId w:val="69"/>
  </w:num>
  <w:num w:numId="41" w16cid:durableId="1946230792">
    <w:abstractNumId w:val="9"/>
  </w:num>
  <w:num w:numId="42" w16cid:durableId="390345726">
    <w:abstractNumId w:val="9"/>
  </w:num>
  <w:num w:numId="43" w16cid:durableId="1772435036">
    <w:abstractNumId w:val="9"/>
  </w:num>
  <w:num w:numId="44" w16cid:durableId="1027215196">
    <w:abstractNumId w:val="9"/>
  </w:num>
  <w:num w:numId="45" w16cid:durableId="112332227">
    <w:abstractNumId w:val="59"/>
  </w:num>
  <w:num w:numId="46" w16cid:durableId="453062038">
    <w:abstractNumId w:val="9"/>
  </w:num>
  <w:num w:numId="47" w16cid:durableId="501819724">
    <w:abstractNumId w:val="22"/>
  </w:num>
  <w:num w:numId="48" w16cid:durableId="130102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477224">
    <w:abstractNumId w:val="65"/>
  </w:num>
  <w:num w:numId="50" w16cid:durableId="1200705724">
    <w:abstractNumId w:val="88"/>
  </w:num>
  <w:num w:numId="51" w16cid:durableId="2114085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2282131">
    <w:abstractNumId w:val="45"/>
  </w:num>
  <w:num w:numId="53" w16cid:durableId="841896611">
    <w:abstractNumId w:val="9"/>
  </w:num>
  <w:num w:numId="54" w16cid:durableId="300697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054209">
    <w:abstractNumId w:val="53"/>
  </w:num>
  <w:num w:numId="56" w16cid:durableId="1222595890">
    <w:abstractNumId w:val="9"/>
  </w:num>
  <w:num w:numId="57" w16cid:durableId="957182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8862792">
    <w:abstractNumId w:val="44"/>
  </w:num>
  <w:num w:numId="59" w16cid:durableId="128670171">
    <w:abstractNumId w:val="9"/>
  </w:num>
  <w:num w:numId="60" w16cid:durableId="1317756443">
    <w:abstractNumId w:val="85"/>
  </w:num>
  <w:num w:numId="61" w16cid:durableId="140971973">
    <w:abstractNumId w:val="37"/>
  </w:num>
  <w:num w:numId="62" w16cid:durableId="1364672632">
    <w:abstractNumId w:val="73"/>
  </w:num>
  <w:num w:numId="63" w16cid:durableId="1000425401">
    <w:abstractNumId w:val="58"/>
  </w:num>
  <w:num w:numId="64" w16cid:durableId="1831210712">
    <w:abstractNumId w:val="48"/>
  </w:num>
  <w:num w:numId="65" w16cid:durableId="537354890">
    <w:abstractNumId w:val="6"/>
  </w:num>
  <w:num w:numId="66" w16cid:durableId="1988317977">
    <w:abstractNumId w:val="23"/>
  </w:num>
  <w:num w:numId="67" w16cid:durableId="1411928800">
    <w:abstractNumId w:val="24"/>
  </w:num>
  <w:num w:numId="68" w16cid:durableId="869687499">
    <w:abstractNumId w:val="16"/>
  </w:num>
  <w:num w:numId="69" w16cid:durableId="1696074166">
    <w:abstractNumId w:val="9"/>
  </w:num>
  <w:num w:numId="70" w16cid:durableId="1659455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75211">
    <w:abstractNumId w:val="72"/>
  </w:num>
  <w:num w:numId="72" w16cid:durableId="1630280344">
    <w:abstractNumId w:val="84"/>
  </w:num>
  <w:num w:numId="73" w16cid:durableId="1878277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5875799">
    <w:abstractNumId w:val="27"/>
  </w:num>
  <w:num w:numId="75" w16cid:durableId="2118674850">
    <w:abstractNumId w:val="36"/>
  </w:num>
  <w:num w:numId="76" w16cid:durableId="1469662727">
    <w:abstractNumId w:val="49"/>
  </w:num>
  <w:num w:numId="77" w16cid:durableId="93790134">
    <w:abstractNumId w:val="43"/>
  </w:num>
  <w:num w:numId="78" w16cid:durableId="1807158691">
    <w:abstractNumId w:val="71"/>
  </w:num>
  <w:num w:numId="79" w16cid:durableId="270284555">
    <w:abstractNumId w:val="67"/>
  </w:num>
  <w:num w:numId="80" w16cid:durableId="1326712525">
    <w:abstractNumId w:val="3"/>
  </w:num>
  <w:num w:numId="81" w16cid:durableId="973608383">
    <w:abstractNumId w:val="89"/>
  </w:num>
  <w:num w:numId="82" w16cid:durableId="1643655265">
    <w:abstractNumId w:val="31"/>
  </w:num>
  <w:num w:numId="83" w16cid:durableId="550262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981750">
    <w:abstractNumId w:val="28"/>
  </w:num>
  <w:num w:numId="85" w16cid:durableId="2036343434">
    <w:abstractNumId w:val="12"/>
  </w:num>
  <w:num w:numId="86" w16cid:durableId="401174066">
    <w:abstractNumId w:val="9"/>
  </w:num>
  <w:num w:numId="87" w16cid:durableId="196431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34594024">
    <w:abstractNumId w:val="8"/>
  </w:num>
  <w:num w:numId="89" w16cid:durableId="1639607794">
    <w:abstractNumId w:val="18"/>
  </w:num>
  <w:num w:numId="90" w16cid:durableId="270473325">
    <w:abstractNumId w:val="52"/>
  </w:num>
  <w:num w:numId="91" w16cid:durableId="2036270267">
    <w:abstractNumId w:val="14"/>
  </w:num>
  <w:num w:numId="92" w16cid:durableId="841965587">
    <w:abstractNumId w:val="13"/>
  </w:num>
  <w:num w:numId="93" w16cid:durableId="2004114863">
    <w:abstractNumId w:val="21"/>
  </w:num>
  <w:num w:numId="94" w16cid:durableId="620847553">
    <w:abstractNumId w:val="2"/>
  </w:num>
  <w:num w:numId="95" w16cid:durableId="1822623806">
    <w:abstractNumId w:val="68"/>
  </w:num>
  <w:num w:numId="96" w16cid:durableId="236942413">
    <w:abstractNumId w:val="10"/>
  </w:num>
  <w:num w:numId="97" w16cid:durableId="131676786">
    <w:abstractNumId w:val="76"/>
  </w:num>
  <w:num w:numId="98" w16cid:durableId="502866374">
    <w:abstractNumId w:val="5"/>
  </w:num>
  <w:num w:numId="99" w16cid:durableId="1812555533">
    <w:abstractNumId w:val="74"/>
  </w:num>
  <w:num w:numId="100" w16cid:durableId="573204968">
    <w:abstractNumId w:val="62"/>
  </w:num>
  <w:num w:numId="101" w16cid:durableId="1111630132">
    <w:abstractNumId w:val="81"/>
  </w:num>
  <w:num w:numId="102" w16cid:durableId="1557162876">
    <w:abstractNumId w:val="51"/>
  </w:num>
  <w:num w:numId="103" w16cid:durableId="974215854">
    <w:abstractNumId w:val="78"/>
  </w:num>
  <w:num w:numId="104" w16cid:durableId="1058743385">
    <w:abstractNumId w:val="33"/>
  </w:num>
  <w:num w:numId="105" w16cid:durableId="1320036139">
    <w:abstractNumId w:val="57"/>
  </w:num>
  <w:num w:numId="106" w16cid:durableId="472526251">
    <w:abstractNumId w:val="41"/>
  </w:num>
  <w:num w:numId="107" w16cid:durableId="1762070972">
    <w:abstractNumId w:val="90"/>
  </w:num>
  <w:num w:numId="108" w16cid:durableId="2007392666">
    <w:abstractNumId w:val="87"/>
  </w:num>
  <w:num w:numId="109" w16cid:durableId="577404477">
    <w:abstractNumId w:val="64"/>
  </w:num>
  <w:num w:numId="110" w16cid:durableId="20802891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72"/>
    <w:rsid w:val="0000121C"/>
    <w:rsid w:val="00013E2F"/>
    <w:rsid w:val="00014552"/>
    <w:rsid w:val="00014E8A"/>
    <w:rsid w:val="00025198"/>
    <w:rsid w:val="00025723"/>
    <w:rsid w:val="00027FAC"/>
    <w:rsid w:val="00033A73"/>
    <w:rsid w:val="00043EEC"/>
    <w:rsid w:val="00050E73"/>
    <w:rsid w:val="00057512"/>
    <w:rsid w:val="00060F52"/>
    <w:rsid w:val="0006215F"/>
    <w:rsid w:val="00062478"/>
    <w:rsid w:val="000643BB"/>
    <w:rsid w:val="00064B1E"/>
    <w:rsid w:val="000713D6"/>
    <w:rsid w:val="00075E9E"/>
    <w:rsid w:val="0007724A"/>
    <w:rsid w:val="000824DD"/>
    <w:rsid w:val="0009029A"/>
    <w:rsid w:val="000A7D9D"/>
    <w:rsid w:val="000B3F8C"/>
    <w:rsid w:val="000B49D1"/>
    <w:rsid w:val="000B6DF3"/>
    <w:rsid w:val="000B788E"/>
    <w:rsid w:val="000D2717"/>
    <w:rsid w:val="000D30AC"/>
    <w:rsid w:val="000D6074"/>
    <w:rsid w:val="00102A44"/>
    <w:rsid w:val="00114485"/>
    <w:rsid w:val="00115A20"/>
    <w:rsid w:val="00117BCF"/>
    <w:rsid w:val="001270ED"/>
    <w:rsid w:val="001351CA"/>
    <w:rsid w:val="00136203"/>
    <w:rsid w:val="0015046D"/>
    <w:rsid w:val="00155E3C"/>
    <w:rsid w:val="00157808"/>
    <w:rsid w:val="00167632"/>
    <w:rsid w:val="00171FF1"/>
    <w:rsid w:val="0019782C"/>
    <w:rsid w:val="001A4B77"/>
    <w:rsid w:val="001B71A5"/>
    <w:rsid w:val="001C137A"/>
    <w:rsid w:val="001C1BF9"/>
    <w:rsid w:val="001E5007"/>
    <w:rsid w:val="001E7019"/>
    <w:rsid w:val="001E7E72"/>
    <w:rsid w:val="001F060D"/>
    <w:rsid w:val="001F1186"/>
    <w:rsid w:val="001F162B"/>
    <w:rsid w:val="001F47C5"/>
    <w:rsid w:val="001F7C65"/>
    <w:rsid w:val="00204604"/>
    <w:rsid w:val="002109A6"/>
    <w:rsid w:val="0021729B"/>
    <w:rsid w:val="00220F70"/>
    <w:rsid w:val="002339B6"/>
    <w:rsid w:val="00237101"/>
    <w:rsid w:val="00240D98"/>
    <w:rsid w:val="00245AE0"/>
    <w:rsid w:val="00255037"/>
    <w:rsid w:val="0025557C"/>
    <w:rsid w:val="002611E2"/>
    <w:rsid w:val="00266CAD"/>
    <w:rsid w:val="00270236"/>
    <w:rsid w:val="002778A9"/>
    <w:rsid w:val="0029397C"/>
    <w:rsid w:val="002945A1"/>
    <w:rsid w:val="002B04E6"/>
    <w:rsid w:val="002C20C3"/>
    <w:rsid w:val="002C72A4"/>
    <w:rsid w:val="002D3BF9"/>
    <w:rsid w:val="002E4BDA"/>
    <w:rsid w:val="002F2100"/>
    <w:rsid w:val="002F5A11"/>
    <w:rsid w:val="00306942"/>
    <w:rsid w:val="00311CC1"/>
    <w:rsid w:val="00313D7C"/>
    <w:rsid w:val="00315646"/>
    <w:rsid w:val="00315FAF"/>
    <w:rsid w:val="00327414"/>
    <w:rsid w:val="003333CD"/>
    <w:rsid w:val="00341ACE"/>
    <w:rsid w:val="00354B54"/>
    <w:rsid w:val="00360118"/>
    <w:rsid w:val="003732E4"/>
    <w:rsid w:val="00386EB3"/>
    <w:rsid w:val="00390507"/>
    <w:rsid w:val="00392600"/>
    <w:rsid w:val="00392C1A"/>
    <w:rsid w:val="00393F0A"/>
    <w:rsid w:val="0039740B"/>
    <w:rsid w:val="003A306D"/>
    <w:rsid w:val="003B36F4"/>
    <w:rsid w:val="003C51D7"/>
    <w:rsid w:val="003C766E"/>
    <w:rsid w:val="003D43BA"/>
    <w:rsid w:val="003D4EDE"/>
    <w:rsid w:val="003D5C19"/>
    <w:rsid w:val="003D6F45"/>
    <w:rsid w:val="003E2FC2"/>
    <w:rsid w:val="003E3BC2"/>
    <w:rsid w:val="003E586A"/>
    <w:rsid w:val="003F2482"/>
    <w:rsid w:val="0040759C"/>
    <w:rsid w:val="00417288"/>
    <w:rsid w:val="00417364"/>
    <w:rsid w:val="00437228"/>
    <w:rsid w:val="004423D1"/>
    <w:rsid w:val="00444E37"/>
    <w:rsid w:val="004520BF"/>
    <w:rsid w:val="00457C70"/>
    <w:rsid w:val="004627AA"/>
    <w:rsid w:val="004701EB"/>
    <w:rsid w:val="004711A6"/>
    <w:rsid w:val="004937C3"/>
    <w:rsid w:val="00495F93"/>
    <w:rsid w:val="004B538C"/>
    <w:rsid w:val="004C2BD4"/>
    <w:rsid w:val="004C7A32"/>
    <w:rsid w:val="004D1801"/>
    <w:rsid w:val="004D73B7"/>
    <w:rsid w:val="004E0D41"/>
    <w:rsid w:val="004E3512"/>
    <w:rsid w:val="004E4270"/>
    <w:rsid w:val="004E445C"/>
    <w:rsid w:val="004E5BDA"/>
    <w:rsid w:val="004F5B4C"/>
    <w:rsid w:val="004F7843"/>
    <w:rsid w:val="00506D80"/>
    <w:rsid w:val="00510034"/>
    <w:rsid w:val="00517F57"/>
    <w:rsid w:val="00531D3B"/>
    <w:rsid w:val="005325D7"/>
    <w:rsid w:val="00534CE4"/>
    <w:rsid w:val="00534D01"/>
    <w:rsid w:val="00536235"/>
    <w:rsid w:val="005378F8"/>
    <w:rsid w:val="005406FE"/>
    <w:rsid w:val="00542822"/>
    <w:rsid w:val="00542BE3"/>
    <w:rsid w:val="00553F66"/>
    <w:rsid w:val="0055511B"/>
    <w:rsid w:val="00563898"/>
    <w:rsid w:val="00563AEB"/>
    <w:rsid w:val="005640DB"/>
    <w:rsid w:val="00577A43"/>
    <w:rsid w:val="00581311"/>
    <w:rsid w:val="00590ED4"/>
    <w:rsid w:val="0059386C"/>
    <w:rsid w:val="005977B3"/>
    <w:rsid w:val="005A6B70"/>
    <w:rsid w:val="005C3128"/>
    <w:rsid w:val="005D1615"/>
    <w:rsid w:val="005D2AFB"/>
    <w:rsid w:val="005D4084"/>
    <w:rsid w:val="005E549B"/>
    <w:rsid w:val="005E5DD8"/>
    <w:rsid w:val="00600E19"/>
    <w:rsid w:val="006200B6"/>
    <w:rsid w:val="00622694"/>
    <w:rsid w:val="00622924"/>
    <w:rsid w:val="006241F6"/>
    <w:rsid w:val="006406B8"/>
    <w:rsid w:val="006414BD"/>
    <w:rsid w:val="006504C3"/>
    <w:rsid w:val="00660976"/>
    <w:rsid w:val="0066729D"/>
    <w:rsid w:val="006746E9"/>
    <w:rsid w:val="00686490"/>
    <w:rsid w:val="00690807"/>
    <w:rsid w:val="00696078"/>
    <w:rsid w:val="006C0F6A"/>
    <w:rsid w:val="006C2FE8"/>
    <w:rsid w:val="006C3F77"/>
    <w:rsid w:val="006C7F39"/>
    <w:rsid w:val="006D2654"/>
    <w:rsid w:val="006D2AE5"/>
    <w:rsid w:val="006E54F8"/>
    <w:rsid w:val="006E7264"/>
    <w:rsid w:val="006F74D2"/>
    <w:rsid w:val="007020B5"/>
    <w:rsid w:val="00704856"/>
    <w:rsid w:val="00717757"/>
    <w:rsid w:val="00717D9B"/>
    <w:rsid w:val="00721944"/>
    <w:rsid w:val="00723211"/>
    <w:rsid w:val="00735772"/>
    <w:rsid w:val="00737FC5"/>
    <w:rsid w:val="00747BA4"/>
    <w:rsid w:val="00754451"/>
    <w:rsid w:val="007576E8"/>
    <w:rsid w:val="0076374E"/>
    <w:rsid w:val="00764549"/>
    <w:rsid w:val="00770E05"/>
    <w:rsid w:val="00772316"/>
    <w:rsid w:val="00772D51"/>
    <w:rsid w:val="00773400"/>
    <w:rsid w:val="007754AA"/>
    <w:rsid w:val="00782A07"/>
    <w:rsid w:val="00790FF7"/>
    <w:rsid w:val="00797339"/>
    <w:rsid w:val="007A2A9D"/>
    <w:rsid w:val="007A4460"/>
    <w:rsid w:val="007B09B0"/>
    <w:rsid w:val="007B0F49"/>
    <w:rsid w:val="007B6282"/>
    <w:rsid w:val="007C0E0C"/>
    <w:rsid w:val="007C536C"/>
    <w:rsid w:val="007D1C12"/>
    <w:rsid w:val="007D7D51"/>
    <w:rsid w:val="007D7EC1"/>
    <w:rsid w:val="007E2958"/>
    <w:rsid w:val="007E3575"/>
    <w:rsid w:val="007F01EB"/>
    <w:rsid w:val="007F2330"/>
    <w:rsid w:val="007F4BDE"/>
    <w:rsid w:val="007F5FA6"/>
    <w:rsid w:val="00801A60"/>
    <w:rsid w:val="008021E8"/>
    <w:rsid w:val="0080336B"/>
    <w:rsid w:val="0081409D"/>
    <w:rsid w:val="008268C2"/>
    <w:rsid w:val="00837B54"/>
    <w:rsid w:val="00837EC8"/>
    <w:rsid w:val="008420F5"/>
    <w:rsid w:val="008529C4"/>
    <w:rsid w:val="00855179"/>
    <w:rsid w:val="00856A59"/>
    <w:rsid w:val="0087731F"/>
    <w:rsid w:val="0089582E"/>
    <w:rsid w:val="008A194D"/>
    <w:rsid w:val="008A2896"/>
    <w:rsid w:val="008A56E9"/>
    <w:rsid w:val="008B0FE5"/>
    <w:rsid w:val="008B4B46"/>
    <w:rsid w:val="008B51B9"/>
    <w:rsid w:val="008B528F"/>
    <w:rsid w:val="008B7CF2"/>
    <w:rsid w:val="008D4987"/>
    <w:rsid w:val="008F5B3C"/>
    <w:rsid w:val="008F6333"/>
    <w:rsid w:val="00907CB1"/>
    <w:rsid w:val="00912E71"/>
    <w:rsid w:val="00914B47"/>
    <w:rsid w:val="009205BB"/>
    <w:rsid w:val="00941AB6"/>
    <w:rsid w:val="0095170A"/>
    <w:rsid w:val="00954E3D"/>
    <w:rsid w:val="00964B96"/>
    <w:rsid w:val="009666F3"/>
    <w:rsid w:val="00971654"/>
    <w:rsid w:val="00974CAA"/>
    <w:rsid w:val="00974F17"/>
    <w:rsid w:val="0097573F"/>
    <w:rsid w:val="00976C8F"/>
    <w:rsid w:val="00981237"/>
    <w:rsid w:val="00982ABD"/>
    <w:rsid w:val="00986E0A"/>
    <w:rsid w:val="009A2682"/>
    <w:rsid w:val="009A72A3"/>
    <w:rsid w:val="009B2C17"/>
    <w:rsid w:val="009B578F"/>
    <w:rsid w:val="009C5F8F"/>
    <w:rsid w:val="009C7D08"/>
    <w:rsid w:val="009D264F"/>
    <w:rsid w:val="009D304E"/>
    <w:rsid w:val="009D3ED8"/>
    <w:rsid w:val="009E3717"/>
    <w:rsid w:val="009F37F0"/>
    <w:rsid w:val="009F7C58"/>
    <w:rsid w:val="00A03982"/>
    <w:rsid w:val="00A05031"/>
    <w:rsid w:val="00A273C4"/>
    <w:rsid w:val="00A360D2"/>
    <w:rsid w:val="00A54D66"/>
    <w:rsid w:val="00A602C3"/>
    <w:rsid w:val="00A638AD"/>
    <w:rsid w:val="00A6725F"/>
    <w:rsid w:val="00A7143C"/>
    <w:rsid w:val="00A73960"/>
    <w:rsid w:val="00A90833"/>
    <w:rsid w:val="00A90BE7"/>
    <w:rsid w:val="00A97904"/>
    <w:rsid w:val="00AA0AFA"/>
    <w:rsid w:val="00AA522D"/>
    <w:rsid w:val="00AB3808"/>
    <w:rsid w:val="00AB7539"/>
    <w:rsid w:val="00AC0B74"/>
    <w:rsid w:val="00AC1C37"/>
    <w:rsid w:val="00AC2731"/>
    <w:rsid w:val="00AC2B7E"/>
    <w:rsid w:val="00AD22AB"/>
    <w:rsid w:val="00AD70D8"/>
    <w:rsid w:val="00AE4264"/>
    <w:rsid w:val="00AE6140"/>
    <w:rsid w:val="00AF542A"/>
    <w:rsid w:val="00AF6AB9"/>
    <w:rsid w:val="00AF6CC2"/>
    <w:rsid w:val="00B0158B"/>
    <w:rsid w:val="00B052B1"/>
    <w:rsid w:val="00B10DD9"/>
    <w:rsid w:val="00B20D06"/>
    <w:rsid w:val="00B20EE7"/>
    <w:rsid w:val="00B22C61"/>
    <w:rsid w:val="00B2406F"/>
    <w:rsid w:val="00B25129"/>
    <w:rsid w:val="00B30973"/>
    <w:rsid w:val="00B348AC"/>
    <w:rsid w:val="00B36770"/>
    <w:rsid w:val="00B42740"/>
    <w:rsid w:val="00B45729"/>
    <w:rsid w:val="00B469AE"/>
    <w:rsid w:val="00B5164B"/>
    <w:rsid w:val="00B6516B"/>
    <w:rsid w:val="00B675DE"/>
    <w:rsid w:val="00B73EF0"/>
    <w:rsid w:val="00B7466B"/>
    <w:rsid w:val="00B75BA5"/>
    <w:rsid w:val="00B801E5"/>
    <w:rsid w:val="00B8758F"/>
    <w:rsid w:val="00BA6F9E"/>
    <w:rsid w:val="00BB05C3"/>
    <w:rsid w:val="00BC6504"/>
    <w:rsid w:val="00BE326C"/>
    <w:rsid w:val="00BE6D65"/>
    <w:rsid w:val="00BF7B0C"/>
    <w:rsid w:val="00C003B5"/>
    <w:rsid w:val="00C06DFC"/>
    <w:rsid w:val="00C13F31"/>
    <w:rsid w:val="00C17896"/>
    <w:rsid w:val="00C2330A"/>
    <w:rsid w:val="00C23607"/>
    <w:rsid w:val="00C23FC3"/>
    <w:rsid w:val="00C25150"/>
    <w:rsid w:val="00C37712"/>
    <w:rsid w:val="00C4363C"/>
    <w:rsid w:val="00C46720"/>
    <w:rsid w:val="00C52141"/>
    <w:rsid w:val="00C5565B"/>
    <w:rsid w:val="00C608A8"/>
    <w:rsid w:val="00C6370B"/>
    <w:rsid w:val="00C63D44"/>
    <w:rsid w:val="00C70A08"/>
    <w:rsid w:val="00C91EF1"/>
    <w:rsid w:val="00C95350"/>
    <w:rsid w:val="00CA798D"/>
    <w:rsid w:val="00CB4367"/>
    <w:rsid w:val="00CD0669"/>
    <w:rsid w:val="00CD1E00"/>
    <w:rsid w:val="00CD6843"/>
    <w:rsid w:val="00CE60C5"/>
    <w:rsid w:val="00D032C0"/>
    <w:rsid w:val="00D06E8B"/>
    <w:rsid w:val="00D078F8"/>
    <w:rsid w:val="00D13AC0"/>
    <w:rsid w:val="00D14493"/>
    <w:rsid w:val="00D17381"/>
    <w:rsid w:val="00D22AB6"/>
    <w:rsid w:val="00D22FFB"/>
    <w:rsid w:val="00D45F20"/>
    <w:rsid w:val="00D617C0"/>
    <w:rsid w:val="00D6353F"/>
    <w:rsid w:val="00D766C1"/>
    <w:rsid w:val="00D80758"/>
    <w:rsid w:val="00D8562E"/>
    <w:rsid w:val="00D96C6F"/>
    <w:rsid w:val="00D97B78"/>
    <w:rsid w:val="00DB2D0A"/>
    <w:rsid w:val="00DC3649"/>
    <w:rsid w:val="00DC665D"/>
    <w:rsid w:val="00DC7242"/>
    <w:rsid w:val="00DD261A"/>
    <w:rsid w:val="00DD4112"/>
    <w:rsid w:val="00DD7426"/>
    <w:rsid w:val="00DE6E52"/>
    <w:rsid w:val="00DF180E"/>
    <w:rsid w:val="00E034EC"/>
    <w:rsid w:val="00E06BC2"/>
    <w:rsid w:val="00E136B6"/>
    <w:rsid w:val="00E16A56"/>
    <w:rsid w:val="00E2264D"/>
    <w:rsid w:val="00E27EB2"/>
    <w:rsid w:val="00E44922"/>
    <w:rsid w:val="00E525CB"/>
    <w:rsid w:val="00E57CE1"/>
    <w:rsid w:val="00E62711"/>
    <w:rsid w:val="00E63A63"/>
    <w:rsid w:val="00E7023A"/>
    <w:rsid w:val="00E77A1F"/>
    <w:rsid w:val="00E80BE1"/>
    <w:rsid w:val="00E83276"/>
    <w:rsid w:val="00E87B0A"/>
    <w:rsid w:val="00E87D74"/>
    <w:rsid w:val="00E903EE"/>
    <w:rsid w:val="00E97EB8"/>
    <w:rsid w:val="00EA7A24"/>
    <w:rsid w:val="00EC615E"/>
    <w:rsid w:val="00EC660D"/>
    <w:rsid w:val="00EC7FB9"/>
    <w:rsid w:val="00EE0874"/>
    <w:rsid w:val="00F0002C"/>
    <w:rsid w:val="00F126C1"/>
    <w:rsid w:val="00F17305"/>
    <w:rsid w:val="00F2040A"/>
    <w:rsid w:val="00F37A60"/>
    <w:rsid w:val="00F419F7"/>
    <w:rsid w:val="00F42AB6"/>
    <w:rsid w:val="00F56EA8"/>
    <w:rsid w:val="00F72CF7"/>
    <w:rsid w:val="00F747A7"/>
    <w:rsid w:val="00F76E2E"/>
    <w:rsid w:val="00F82900"/>
    <w:rsid w:val="00F83D12"/>
    <w:rsid w:val="00F93496"/>
    <w:rsid w:val="00FC2E29"/>
    <w:rsid w:val="00FD1E9E"/>
    <w:rsid w:val="03D7E1A3"/>
    <w:rsid w:val="0832AD52"/>
    <w:rsid w:val="0A7840BA"/>
    <w:rsid w:val="0AB0F70D"/>
    <w:rsid w:val="0EC00EE1"/>
    <w:rsid w:val="105D7F6A"/>
    <w:rsid w:val="14298FAB"/>
    <w:rsid w:val="1492865D"/>
    <w:rsid w:val="14B0BF28"/>
    <w:rsid w:val="162F62B9"/>
    <w:rsid w:val="16C751FE"/>
    <w:rsid w:val="17CE57B3"/>
    <w:rsid w:val="17E055D2"/>
    <w:rsid w:val="1C182F3B"/>
    <w:rsid w:val="206E7BDB"/>
    <w:rsid w:val="210F92B7"/>
    <w:rsid w:val="21A23A93"/>
    <w:rsid w:val="2216971C"/>
    <w:rsid w:val="261C708F"/>
    <w:rsid w:val="2750A87E"/>
    <w:rsid w:val="287C84AA"/>
    <w:rsid w:val="29167AF8"/>
    <w:rsid w:val="2DAD7489"/>
    <w:rsid w:val="32C783AF"/>
    <w:rsid w:val="33C20B5A"/>
    <w:rsid w:val="34B8398F"/>
    <w:rsid w:val="39B3CC1F"/>
    <w:rsid w:val="4260957D"/>
    <w:rsid w:val="436042EF"/>
    <w:rsid w:val="44807740"/>
    <w:rsid w:val="458207BB"/>
    <w:rsid w:val="45926D23"/>
    <w:rsid w:val="47EC2F25"/>
    <w:rsid w:val="49A956FE"/>
    <w:rsid w:val="4A19C784"/>
    <w:rsid w:val="4CBBF8C2"/>
    <w:rsid w:val="4FDC6E59"/>
    <w:rsid w:val="51C3DD54"/>
    <w:rsid w:val="56E91D1E"/>
    <w:rsid w:val="5769F4A3"/>
    <w:rsid w:val="57EFE36E"/>
    <w:rsid w:val="5B64EDD9"/>
    <w:rsid w:val="5BEF5FC1"/>
    <w:rsid w:val="5C2C48ED"/>
    <w:rsid w:val="5E92AB40"/>
    <w:rsid w:val="623074B4"/>
    <w:rsid w:val="64395690"/>
    <w:rsid w:val="644F054F"/>
    <w:rsid w:val="6477520C"/>
    <w:rsid w:val="65717077"/>
    <w:rsid w:val="661AEE55"/>
    <w:rsid w:val="6665A651"/>
    <w:rsid w:val="66A91B71"/>
    <w:rsid w:val="6BFE369B"/>
    <w:rsid w:val="6E24B88B"/>
    <w:rsid w:val="6F9053EA"/>
    <w:rsid w:val="7023B0C9"/>
    <w:rsid w:val="71011C94"/>
    <w:rsid w:val="743E2213"/>
    <w:rsid w:val="769CA611"/>
    <w:rsid w:val="7901B13E"/>
    <w:rsid w:val="7A03626C"/>
    <w:rsid w:val="7A2555AA"/>
    <w:rsid w:val="7C2EF9D9"/>
    <w:rsid w:val="7C353D36"/>
    <w:rsid w:val="7EDD414D"/>
    <w:rsid w:val="7F1BA10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D6EE7"/>
  <w15:chartTrackingRefBased/>
  <w15:docId w15:val="{D7803DE5-37DB-49CE-B1BF-425DF021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9"/>
    <w:pPr>
      <w:spacing w:after="200" w:line="240" w:lineRule="auto"/>
    </w:pPr>
    <w:rPr>
      <w:rFonts w:ascii="Titillium Web" w:hAnsi="Titillium Web"/>
      <w:kern w:val="0"/>
      <w:lang w:val="en-GB"/>
      <w14:ligatures w14:val="none"/>
    </w:rPr>
  </w:style>
  <w:style w:type="paragraph" w:styleId="Heading1">
    <w:name w:val="heading 1"/>
    <w:basedOn w:val="Normal"/>
    <w:next w:val="Normal"/>
    <w:link w:val="Heading1Char"/>
    <w:autoRedefine/>
    <w:uiPriority w:val="9"/>
    <w:qFormat/>
    <w:rsid w:val="00E87B0A"/>
    <w:pPr>
      <w:keepNext/>
      <w:keepLines/>
      <w:numPr>
        <w:numId w:val="1"/>
      </w:numPr>
      <w:tabs>
        <w:tab w:val="num" w:pos="851"/>
      </w:tabs>
      <w:spacing w:before="800" w:after="400"/>
      <w:ind w:left="851" w:hanging="851"/>
      <w:outlineLvl w:val="0"/>
    </w:pPr>
    <w:rPr>
      <w:rFonts w:eastAsiaTheme="majorEastAsia" w:cstheme="majorBidi"/>
      <w:smallCaps/>
      <w:color w:val="0F4761" w:themeColor="accent1" w:themeShade="BF"/>
      <w:sz w:val="48"/>
      <w:szCs w:val="40"/>
    </w:rPr>
  </w:style>
  <w:style w:type="paragraph" w:styleId="Heading2">
    <w:name w:val="heading 2"/>
    <w:basedOn w:val="Normal"/>
    <w:next w:val="Normal"/>
    <w:link w:val="Heading2Char"/>
    <w:autoRedefine/>
    <w:uiPriority w:val="9"/>
    <w:unhideWhenUsed/>
    <w:qFormat/>
    <w:rsid w:val="008B0FE5"/>
    <w:pPr>
      <w:keepNext/>
      <w:keepLines/>
      <w:numPr>
        <w:ilvl w:val="1"/>
        <w:numId w:val="1"/>
      </w:numPr>
      <w:spacing w:before="600" w:after="40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0A"/>
    <w:rPr>
      <w:rFonts w:ascii="Titillium Web" w:eastAsiaTheme="majorEastAsia" w:hAnsi="Titillium Web" w:cstheme="majorBidi"/>
      <w:smallCaps/>
      <w:color w:val="0F4761" w:themeColor="accent1" w:themeShade="BF"/>
      <w:kern w:val="0"/>
      <w:sz w:val="48"/>
      <w:szCs w:val="40"/>
      <w:lang w:val="en-GB"/>
      <w14:ligatures w14:val="none"/>
    </w:rPr>
  </w:style>
  <w:style w:type="character" w:customStyle="1" w:styleId="Heading2Char">
    <w:name w:val="Heading 2 Char"/>
    <w:basedOn w:val="DefaultParagraphFont"/>
    <w:link w:val="Heading2"/>
    <w:uiPriority w:val="9"/>
    <w:rsid w:val="008B0FE5"/>
    <w:rPr>
      <w:rFonts w:ascii="Titillium Web" w:eastAsiaTheme="majorEastAsia" w:hAnsi="Titillium Web"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1E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72"/>
    <w:rPr>
      <w:rFonts w:ascii="Tenorite" w:eastAsiaTheme="majorEastAsia" w:hAnsi="Tenorite" w:cstheme="majorBidi"/>
      <w:i/>
      <w:iCs/>
      <w:color w:val="595959" w:themeColor="text1" w:themeTint="A6"/>
      <w:kern w:val="0"/>
      <w:lang w:val="de-AT"/>
      <w14:ligatures w14:val="none"/>
    </w:rPr>
  </w:style>
  <w:style w:type="character" w:customStyle="1" w:styleId="Heading7Char">
    <w:name w:val="Heading 7 Char"/>
    <w:basedOn w:val="DefaultParagraphFont"/>
    <w:link w:val="Heading7"/>
    <w:uiPriority w:val="9"/>
    <w:semiHidden/>
    <w:rsid w:val="001E7E72"/>
    <w:rPr>
      <w:rFonts w:ascii="Tenorite" w:eastAsiaTheme="majorEastAsia" w:hAnsi="Tenorite" w:cstheme="majorBidi"/>
      <w:color w:val="595959" w:themeColor="text1" w:themeTint="A6"/>
      <w:kern w:val="0"/>
      <w:lang w:val="de-AT"/>
      <w14:ligatures w14:val="none"/>
    </w:rPr>
  </w:style>
  <w:style w:type="character" w:customStyle="1" w:styleId="Heading8Char">
    <w:name w:val="Heading 8 Char"/>
    <w:basedOn w:val="DefaultParagraphFont"/>
    <w:link w:val="Heading8"/>
    <w:uiPriority w:val="9"/>
    <w:semiHidden/>
    <w:rsid w:val="001E7E72"/>
    <w:rPr>
      <w:rFonts w:ascii="Tenorite" w:eastAsiaTheme="majorEastAsia" w:hAnsi="Tenorite" w:cstheme="majorBidi"/>
      <w:i/>
      <w:iCs/>
      <w:color w:val="272727" w:themeColor="text1" w:themeTint="D8"/>
      <w:kern w:val="0"/>
      <w:lang w:val="de-AT"/>
      <w14:ligatures w14:val="none"/>
    </w:rPr>
  </w:style>
  <w:style w:type="character" w:customStyle="1" w:styleId="Heading9Char">
    <w:name w:val="Heading 9 Char"/>
    <w:basedOn w:val="DefaultParagraphFont"/>
    <w:link w:val="Heading9"/>
    <w:uiPriority w:val="9"/>
    <w:semiHidden/>
    <w:rsid w:val="001E7E72"/>
    <w:rPr>
      <w:rFonts w:ascii="Tenorite" w:eastAsiaTheme="majorEastAsia" w:hAnsi="Tenorite" w:cstheme="majorBidi"/>
      <w:color w:val="272727" w:themeColor="text1" w:themeTint="D8"/>
      <w:kern w:val="0"/>
      <w:lang w:val="de-AT"/>
      <w14:ligatures w14:val="none"/>
    </w:rPr>
  </w:style>
  <w:style w:type="paragraph" w:styleId="Title">
    <w:name w:val="Title"/>
    <w:basedOn w:val="Normal"/>
    <w:next w:val="Normal"/>
    <w:link w:val="TitleChar"/>
    <w:uiPriority w:val="10"/>
    <w:qFormat/>
    <w:rsid w:val="00B73EF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3EF0"/>
    <w:rPr>
      <w:rFonts w:ascii="Titillium Web" w:eastAsiaTheme="majorEastAsia" w:hAnsi="Titillium Web" w:cstheme="majorBidi"/>
      <w:spacing w:val="-10"/>
      <w:kern w:val="28"/>
      <w:sz w:val="56"/>
      <w:szCs w:val="56"/>
      <w:lang w:val="de-AT"/>
      <w14:ligatures w14:val="none"/>
    </w:rPr>
  </w:style>
  <w:style w:type="paragraph" w:styleId="Subtitle">
    <w:name w:val="Subtitle"/>
    <w:basedOn w:val="Normal"/>
    <w:next w:val="Normal"/>
    <w:link w:val="SubtitleChar"/>
    <w:uiPriority w:val="11"/>
    <w:qFormat/>
    <w:rsid w:val="001E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72"/>
    <w:pPr>
      <w:spacing w:before="160"/>
      <w:jc w:val="center"/>
    </w:pPr>
    <w:rPr>
      <w:i/>
      <w:iCs/>
      <w:color w:val="404040" w:themeColor="text1" w:themeTint="BF"/>
    </w:rPr>
  </w:style>
  <w:style w:type="character" w:customStyle="1" w:styleId="QuoteChar">
    <w:name w:val="Quote Char"/>
    <w:basedOn w:val="DefaultParagraphFont"/>
    <w:link w:val="Quote"/>
    <w:uiPriority w:val="29"/>
    <w:rsid w:val="001E7E72"/>
    <w:rPr>
      <w:i/>
      <w:iCs/>
      <w:color w:val="404040" w:themeColor="text1" w:themeTint="BF"/>
    </w:rPr>
  </w:style>
  <w:style w:type="paragraph" w:styleId="ListParagraph">
    <w:name w:val="List Paragraph"/>
    <w:aliases w:val="List paragraph"/>
    <w:basedOn w:val="Normal"/>
    <w:link w:val="ListParagraphChar"/>
    <w:uiPriority w:val="34"/>
    <w:qFormat/>
    <w:rsid w:val="00690807"/>
    <w:pPr>
      <w:numPr>
        <w:numId w:val="29"/>
      </w:numPr>
      <w:ind w:left="568" w:hanging="284"/>
      <w:contextualSpacing/>
    </w:pPr>
  </w:style>
  <w:style w:type="character" w:styleId="IntenseEmphasis">
    <w:name w:val="Intense Emphasis"/>
    <w:basedOn w:val="DefaultParagraphFont"/>
    <w:uiPriority w:val="21"/>
    <w:qFormat/>
    <w:rsid w:val="001E7E72"/>
    <w:rPr>
      <w:i/>
      <w:iCs/>
      <w:color w:val="0F4761" w:themeColor="accent1" w:themeShade="BF"/>
    </w:rPr>
  </w:style>
  <w:style w:type="paragraph" w:styleId="IntenseQuote">
    <w:name w:val="Intense Quote"/>
    <w:basedOn w:val="Normal"/>
    <w:next w:val="Normal"/>
    <w:link w:val="IntenseQuoteChar"/>
    <w:uiPriority w:val="30"/>
    <w:qFormat/>
    <w:rsid w:val="001E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72"/>
    <w:rPr>
      <w:i/>
      <w:iCs/>
      <w:color w:val="0F4761" w:themeColor="accent1" w:themeShade="BF"/>
    </w:rPr>
  </w:style>
  <w:style w:type="character" w:styleId="IntenseReference">
    <w:name w:val="Intense Reference"/>
    <w:basedOn w:val="DefaultParagraphFont"/>
    <w:uiPriority w:val="32"/>
    <w:qFormat/>
    <w:rsid w:val="001E7E72"/>
    <w:rPr>
      <w:b/>
      <w:bCs/>
      <w:smallCaps/>
      <w:color w:val="0F4761" w:themeColor="accent1" w:themeShade="BF"/>
      <w:spacing w:val="5"/>
    </w:rPr>
  </w:style>
  <w:style w:type="paragraph" w:customStyle="1" w:styleId="Headine3">
    <w:name w:val="Headine 3"/>
    <w:basedOn w:val="Heading3"/>
    <w:next w:val="Normal"/>
    <w:link w:val="Headine3Zchn"/>
    <w:qFormat/>
    <w:rsid w:val="001E7E72"/>
    <w:pPr>
      <w:spacing w:before="40" w:after="0"/>
    </w:pPr>
    <w:rPr>
      <w:rFonts w:cs="Times New Roman (Überschriften"/>
      <w:b/>
      <w:color w:val="auto"/>
      <w:sz w:val="32"/>
      <w:szCs w:val="24"/>
    </w:rPr>
  </w:style>
  <w:style w:type="character" w:customStyle="1" w:styleId="Headine3Zchn">
    <w:name w:val="Headine 3 Zchn"/>
    <w:basedOn w:val="DefaultParagraphFont"/>
    <w:link w:val="Headine3"/>
    <w:rsid w:val="001E7E72"/>
    <w:rPr>
      <w:rFonts w:ascii="Tenorite" w:eastAsiaTheme="majorEastAsia" w:hAnsi="Tenorite" w:cs="Times New Roman (Überschriften"/>
      <w:b/>
      <w:kern w:val="0"/>
      <w:sz w:val="32"/>
      <w:lang w:val="de-AT"/>
      <w14:ligatures w14:val="none"/>
    </w:rPr>
  </w:style>
  <w:style w:type="paragraph" w:styleId="TOC2">
    <w:name w:val="toc 2"/>
    <w:basedOn w:val="Normal"/>
    <w:next w:val="Normal"/>
    <w:autoRedefine/>
    <w:uiPriority w:val="39"/>
    <w:unhideWhenUsed/>
    <w:rsid w:val="00735772"/>
    <w:pPr>
      <w:tabs>
        <w:tab w:val="left" w:pos="880"/>
        <w:tab w:val="right" w:pos="9533"/>
      </w:tabs>
      <w:spacing w:after="100"/>
      <w:ind w:left="284"/>
    </w:pPr>
    <w:rPr>
      <w:rFonts w:cstheme="minorHAnsi"/>
      <w:noProof/>
      <w:szCs w:val="20"/>
      <w:lang w:val="en-US"/>
    </w:rPr>
  </w:style>
  <w:style w:type="paragraph" w:styleId="TOC1">
    <w:name w:val="toc 1"/>
    <w:basedOn w:val="Normal"/>
    <w:next w:val="Normal"/>
    <w:autoRedefine/>
    <w:uiPriority w:val="39"/>
    <w:unhideWhenUsed/>
    <w:rsid w:val="00115A20"/>
    <w:pPr>
      <w:tabs>
        <w:tab w:val="left" w:pos="426"/>
        <w:tab w:val="right" w:leader="dot" w:pos="10082"/>
      </w:tabs>
      <w:spacing w:before="360" w:after="120"/>
    </w:pPr>
    <w:rPr>
      <w:rFonts w:cstheme="majorHAnsi"/>
      <w:bCs/>
      <w:caps/>
      <w:color w:val="0F4761" w:themeColor="accent1" w:themeShade="BF"/>
      <w:sz w:val="28"/>
    </w:rPr>
  </w:style>
  <w:style w:type="character" w:styleId="Hyperlink">
    <w:name w:val="Hyperlink"/>
    <w:basedOn w:val="DefaultParagraphFont"/>
    <w:uiPriority w:val="99"/>
    <w:unhideWhenUsed/>
    <w:rsid w:val="001E7E72"/>
    <w:rPr>
      <w:color w:val="467886" w:themeColor="hyperlink"/>
      <w:u w:val="single"/>
    </w:rPr>
  </w:style>
  <w:style w:type="character" w:customStyle="1" w:styleId="ListParagraphChar">
    <w:name w:val="List Paragraph Char"/>
    <w:aliases w:val="List paragraph Char"/>
    <w:basedOn w:val="DefaultParagraphFont"/>
    <w:link w:val="ListParagraph"/>
    <w:uiPriority w:val="34"/>
    <w:qFormat/>
    <w:rsid w:val="00690807"/>
    <w:rPr>
      <w:rFonts w:ascii="Titillium Web" w:hAnsi="Titillium Web"/>
      <w:kern w:val="0"/>
      <w:lang w:val="en-GB"/>
      <w14:ligatures w14:val="none"/>
    </w:rPr>
  </w:style>
  <w:style w:type="paragraph" w:styleId="NormalWeb">
    <w:name w:val="Normal (Web)"/>
    <w:basedOn w:val="Normal"/>
    <w:uiPriority w:val="99"/>
    <w:semiHidden/>
    <w:unhideWhenUsed/>
    <w:rsid w:val="00AA0AFA"/>
    <w:pPr>
      <w:spacing w:before="100" w:beforeAutospacing="1" w:after="100" w:afterAutospacing="1"/>
    </w:pPr>
    <w:rPr>
      <w:rFonts w:ascii="Times New Roman" w:eastAsia="Times New Roman" w:hAnsi="Times New Roman" w:cs="Times New Roman"/>
      <w:lang w:val="fr-FR" w:eastAsia="fr-FR"/>
    </w:rPr>
  </w:style>
  <w:style w:type="character" w:styleId="CommentReference">
    <w:name w:val="annotation reference"/>
    <w:basedOn w:val="DefaultParagraphFont"/>
    <w:uiPriority w:val="99"/>
    <w:semiHidden/>
    <w:unhideWhenUsed/>
    <w:rsid w:val="002D3BF9"/>
    <w:rPr>
      <w:sz w:val="16"/>
      <w:szCs w:val="16"/>
    </w:rPr>
  </w:style>
  <w:style w:type="paragraph" w:styleId="CommentText">
    <w:name w:val="annotation text"/>
    <w:basedOn w:val="Normal"/>
    <w:link w:val="CommentTextChar"/>
    <w:uiPriority w:val="99"/>
    <w:unhideWhenUsed/>
    <w:rsid w:val="002D3BF9"/>
    <w:rPr>
      <w:sz w:val="20"/>
      <w:szCs w:val="20"/>
    </w:rPr>
  </w:style>
  <w:style w:type="character" w:customStyle="1" w:styleId="CommentTextChar">
    <w:name w:val="Comment Text Char"/>
    <w:basedOn w:val="DefaultParagraphFont"/>
    <w:link w:val="CommentText"/>
    <w:uiPriority w:val="99"/>
    <w:rsid w:val="002D3BF9"/>
    <w:rPr>
      <w:rFonts w:ascii="Tenorite" w:hAnsi="Tenorite"/>
      <w:kern w:val="0"/>
      <w:sz w:val="20"/>
      <w:szCs w:val="20"/>
      <w:lang w:val="de-AT"/>
      <w14:ligatures w14:val="none"/>
    </w:rPr>
  </w:style>
  <w:style w:type="paragraph" w:styleId="CommentSubject">
    <w:name w:val="annotation subject"/>
    <w:basedOn w:val="CommentText"/>
    <w:next w:val="CommentText"/>
    <w:link w:val="CommentSubjectChar"/>
    <w:uiPriority w:val="99"/>
    <w:semiHidden/>
    <w:unhideWhenUsed/>
    <w:rsid w:val="002D3BF9"/>
    <w:rPr>
      <w:b/>
      <w:bCs/>
    </w:rPr>
  </w:style>
  <w:style w:type="character" w:customStyle="1" w:styleId="CommentSubjectChar">
    <w:name w:val="Comment Subject Char"/>
    <w:basedOn w:val="CommentTextChar"/>
    <w:link w:val="CommentSubject"/>
    <w:uiPriority w:val="99"/>
    <w:semiHidden/>
    <w:rsid w:val="002D3BF9"/>
    <w:rPr>
      <w:rFonts w:ascii="Tenorite" w:hAnsi="Tenorite"/>
      <w:b/>
      <w:bCs/>
      <w:kern w:val="0"/>
      <w:sz w:val="20"/>
      <w:szCs w:val="20"/>
      <w:lang w:val="de-AT"/>
      <w14:ligatures w14:val="none"/>
    </w:rPr>
  </w:style>
  <w:style w:type="paragraph" w:styleId="Header">
    <w:name w:val="header"/>
    <w:basedOn w:val="Normal"/>
    <w:link w:val="HeaderChar"/>
    <w:uiPriority w:val="99"/>
    <w:unhideWhenUsed/>
    <w:rsid w:val="00315646"/>
    <w:pPr>
      <w:tabs>
        <w:tab w:val="center" w:pos="4680"/>
        <w:tab w:val="right" w:pos="9360"/>
      </w:tabs>
    </w:pPr>
  </w:style>
  <w:style w:type="character" w:customStyle="1" w:styleId="HeaderChar">
    <w:name w:val="Header Char"/>
    <w:basedOn w:val="DefaultParagraphFont"/>
    <w:link w:val="Header"/>
    <w:uiPriority w:val="99"/>
    <w:rsid w:val="00315646"/>
    <w:rPr>
      <w:rFonts w:ascii="Titillium Web" w:hAnsi="Titillium Web"/>
      <w:kern w:val="0"/>
      <w:lang w:val="de-AT"/>
      <w14:ligatures w14:val="none"/>
    </w:rPr>
  </w:style>
  <w:style w:type="paragraph" w:styleId="Footer">
    <w:name w:val="footer"/>
    <w:basedOn w:val="Normal"/>
    <w:link w:val="FooterChar"/>
    <w:uiPriority w:val="99"/>
    <w:unhideWhenUsed/>
    <w:rsid w:val="00315646"/>
    <w:pPr>
      <w:tabs>
        <w:tab w:val="center" w:pos="4680"/>
        <w:tab w:val="right" w:pos="9360"/>
      </w:tabs>
    </w:pPr>
  </w:style>
  <w:style w:type="character" w:customStyle="1" w:styleId="FooterChar">
    <w:name w:val="Footer Char"/>
    <w:basedOn w:val="DefaultParagraphFont"/>
    <w:link w:val="Footer"/>
    <w:uiPriority w:val="99"/>
    <w:rsid w:val="00315646"/>
    <w:rPr>
      <w:rFonts w:ascii="Titillium Web" w:hAnsi="Titillium Web"/>
      <w:kern w:val="0"/>
      <w:lang w:val="de-AT"/>
      <w14:ligatures w14:val="none"/>
    </w:rPr>
  </w:style>
  <w:style w:type="table" w:styleId="TableGrid">
    <w:name w:val="Table Grid"/>
    <w:basedOn w:val="TableNormal"/>
    <w:uiPriority w:val="39"/>
    <w:rsid w:val="00C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6D65"/>
    <w:rPr>
      <w:color w:val="605E5C"/>
      <w:shd w:val="clear" w:color="auto" w:fill="E1DFDD"/>
    </w:rPr>
  </w:style>
  <w:style w:type="paragraph" w:styleId="TOCHeading">
    <w:name w:val="TOC Heading"/>
    <w:basedOn w:val="Heading1"/>
    <w:next w:val="Normal"/>
    <w:uiPriority w:val="39"/>
    <w:semiHidden/>
    <w:unhideWhenUsed/>
    <w:qFormat/>
    <w:rsid w:val="005D2AFB"/>
    <w:pPr>
      <w:numPr>
        <w:numId w:val="0"/>
      </w:numPr>
      <w:spacing w:before="240" w:after="0"/>
      <w:outlineLvl w:val="9"/>
    </w:pPr>
    <w:rPr>
      <w:rFonts w:asciiTheme="majorHAnsi" w:hAnsiTheme="majorHAnsi"/>
      <w:smallCaps w:val="0"/>
      <w:sz w:val="32"/>
      <w:szCs w:val="32"/>
    </w:rPr>
  </w:style>
  <w:style w:type="paragraph" w:styleId="Caption">
    <w:name w:val="caption"/>
    <w:basedOn w:val="Normal"/>
    <w:next w:val="Normal"/>
    <w:uiPriority w:val="35"/>
    <w:unhideWhenUsed/>
    <w:qFormat/>
    <w:rsid w:val="008D4987"/>
    <w:pPr>
      <w:spacing w:after="0"/>
    </w:pPr>
    <w:rPr>
      <w:i/>
      <w:iCs/>
      <w:color w:val="000000" w:themeColor="text1"/>
      <w:kern w:val="2"/>
      <w:sz w:val="18"/>
      <w:szCs w:val="18"/>
      <w:lang w:val="en-US"/>
      <w14:ligatures w14:val="standardContextual"/>
    </w:rPr>
  </w:style>
  <w:style w:type="paragraph" w:customStyle="1" w:styleId="TableHeader">
    <w:name w:val="Table Header"/>
    <w:basedOn w:val="Normal"/>
    <w:qFormat/>
    <w:rsid w:val="005D2AFB"/>
    <w:pPr>
      <w:spacing w:after="0"/>
    </w:pPr>
    <w:rPr>
      <w:b/>
      <w:sz w:val="22"/>
      <w:szCs w:val="22"/>
    </w:rPr>
  </w:style>
  <w:style w:type="paragraph" w:customStyle="1" w:styleId="TableText">
    <w:name w:val="Table Text"/>
    <w:basedOn w:val="Normal"/>
    <w:qFormat/>
    <w:rsid w:val="005D2AFB"/>
    <w:pPr>
      <w:spacing w:after="0"/>
    </w:pPr>
    <w:rPr>
      <w:sz w:val="22"/>
      <w:szCs w:val="22"/>
    </w:rPr>
  </w:style>
  <w:style w:type="numbering" w:customStyle="1" w:styleId="CurrentList1">
    <w:name w:val="Current List1"/>
    <w:uiPriority w:val="99"/>
    <w:rsid w:val="00690807"/>
    <w:pPr>
      <w:numPr>
        <w:numId w:val="35"/>
      </w:numPr>
    </w:pPr>
  </w:style>
  <w:style w:type="paragraph" w:styleId="TOC3">
    <w:name w:val="toc 3"/>
    <w:basedOn w:val="Normal"/>
    <w:next w:val="Normal"/>
    <w:autoRedefine/>
    <w:uiPriority w:val="39"/>
    <w:unhideWhenUsed/>
    <w:rsid w:val="00386EB3"/>
    <w:pPr>
      <w:spacing w:after="100"/>
      <w:ind w:left="480"/>
    </w:pPr>
  </w:style>
  <w:style w:type="paragraph" w:styleId="Revision">
    <w:name w:val="Revision"/>
    <w:hidden/>
    <w:uiPriority w:val="99"/>
    <w:semiHidden/>
    <w:rsid w:val="00A90BE7"/>
    <w:pPr>
      <w:spacing w:after="0" w:line="240" w:lineRule="auto"/>
    </w:pPr>
    <w:rPr>
      <w:rFonts w:ascii="Titillium Web" w:hAnsi="Titillium Web"/>
      <w:kern w:val="0"/>
      <w:lang w:val="en-GB"/>
      <w14:ligatures w14:val="none"/>
    </w:rPr>
  </w:style>
  <w:style w:type="paragraph" w:styleId="FootnoteText">
    <w:name w:val="footnote text"/>
    <w:basedOn w:val="Normal"/>
    <w:link w:val="FootnoteTextChar"/>
    <w:uiPriority w:val="99"/>
    <w:semiHidden/>
    <w:unhideWhenUsed/>
    <w:rsid w:val="008A2896"/>
    <w:pPr>
      <w:spacing w:after="0"/>
    </w:pPr>
    <w:rPr>
      <w:sz w:val="20"/>
      <w:szCs w:val="20"/>
    </w:rPr>
  </w:style>
  <w:style w:type="character" w:customStyle="1" w:styleId="FootnoteTextChar">
    <w:name w:val="Footnote Text Char"/>
    <w:basedOn w:val="DefaultParagraphFont"/>
    <w:link w:val="FootnoteText"/>
    <w:uiPriority w:val="99"/>
    <w:semiHidden/>
    <w:rsid w:val="008A2896"/>
    <w:rPr>
      <w:rFonts w:ascii="Titillium Web" w:hAnsi="Titillium Web"/>
      <w:kern w:val="0"/>
      <w:sz w:val="20"/>
      <w:szCs w:val="20"/>
      <w:lang w:val="en-GB"/>
      <w14:ligatures w14:val="none"/>
    </w:rPr>
  </w:style>
  <w:style w:type="character" w:styleId="FootnoteReference">
    <w:name w:val="footnote reference"/>
    <w:basedOn w:val="DefaultParagraphFont"/>
    <w:uiPriority w:val="99"/>
    <w:semiHidden/>
    <w:unhideWhenUsed/>
    <w:rsid w:val="008A2896"/>
    <w:rPr>
      <w:vertAlign w:val="superscript"/>
    </w:rPr>
  </w:style>
  <w:style w:type="paragraph" w:customStyle="1" w:styleId="tablanormal10">
    <w:name w:val="tabla normal 10"/>
    <w:basedOn w:val="Normal"/>
    <w:qFormat/>
    <w:rsid w:val="006E7264"/>
    <w:pPr>
      <w:spacing w:before="60" w:after="60" w:line="240" w:lineRule="atLeast"/>
      <w:jc w:val="both"/>
    </w:pPr>
    <w:rPr>
      <w:rFonts w:asciiTheme="minorHAnsi" w:eastAsiaTheme="minorEastAsia" w:hAnsiTheme="minorHAnsi"/>
      <w:color w:val="000000" w:themeColor="text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700">
      <w:bodyDiv w:val="1"/>
      <w:marLeft w:val="0"/>
      <w:marRight w:val="0"/>
      <w:marTop w:val="0"/>
      <w:marBottom w:val="0"/>
      <w:divBdr>
        <w:top w:val="none" w:sz="0" w:space="0" w:color="auto"/>
        <w:left w:val="none" w:sz="0" w:space="0" w:color="auto"/>
        <w:bottom w:val="none" w:sz="0" w:space="0" w:color="auto"/>
        <w:right w:val="none" w:sz="0" w:space="0" w:color="auto"/>
      </w:divBdr>
    </w:div>
    <w:div w:id="776410423">
      <w:bodyDiv w:val="1"/>
      <w:marLeft w:val="0"/>
      <w:marRight w:val="0"/>
      <w:marTop w:val="0"/>
      <w:marBottom w:val="0"/>
      <w:divBdr>
        <w:top w:val="none" w:sz="0" w:space="0" w:color="auto"/>
        <w:left w:val="none" w:sz="0" w:space="0" w:color="auto"/>
        <w:bottom w:val="none" w:sz="0" w:space="0" w:color="auto"/>
        <w:right w:val="none" w:sz="0" w:space="0" w:color="auto"/>
      </w:divBdr>
    </w:div>
    <w:div w:id="996569571">
      <w:bodyDiv w:val="1"/>
      <w:marLeft w:val="0"/>
      <w:marRight w:val="0"/>
      <w:marTop w:val="0"/>
      <w:marBottom w:val="0"/>
      <w:divBdr>
        <w:top w:val="none" w:sz="0" w:space="0" w:color="auto"/>
        <w:left w:val="none" w:sz="0" w:space="0" w:color="auto"/>
        <w:bottom w:val="none" w:sz="0" w:space="0" w:color="auto"/>
        <w:right w:val="none" w:sz="0" w:space="0" w:color="auto"/>
      </w:divBdr>
    </w:div>
    <w:div w:id="1433282291">
      <w:bodyDiv w:val="1"/>
      <w:marLeft w:val="0"/>
      <w:marRight w:val="0"/>
      <w:marTop w:val="0"/>
      <w:marBottom w:val="0"/>
      <w:divBdr>
        <w:top w:val="none" w:sz="0" w:space="0" w:color="auto"/>
        <w:left w:val="none" w:sz="0" w:space="0" w:color="auto"/>
        <w:bottom w:val="none" w:sz="0" w:space="0" w:color="auto"/>
        <w:right w:val="none" w:sz="0" w:space="0" w:color="auto"/>
      </w:divBdr>
    </w:div>
    <w:div w:id="1541630491">
      <w:bodyDiv w:val="1"/>
      <w:marLeft w:val="0"/>
      <w:marRight w:val="0"/>
      <w:marTop w:val="0"/>
      <w:marBottom w:val="0"/>
      <w:divBdr>
        <w:top w:val="none" w:sz="0" w:space="0" w:color="auto"/>
        <w:left w:val="none" w:sz="0" w:space="0" w:color="auto"/>
        <w:bottom w:val="none" w:sz="0" w:space="0" w:color="auto"/>
        <w:right w:val="none" w:sz="0" w:space="0" w:color="auto"/>
      </w:divBdr>
    </w:div>
    <w:div w:id="1606187292">
      <w:bodyDiv w:val="1"/>
      <w:marLeft w:val="0"/>
      <w:marRight w:val="0"/>
      <w:marTop w:val="0"/>
      <w:marBottom w:val="0"/>
      <w:divBdr>
        <w:top w:val="none" w:sz="0" w:space="0" w:color="auto"/>
        <w:left w:val="none" w:sz="0" w:space="0" w:color="auto"/>
        <w:bottom w:val="none" w:sz="0" w:space="0" w:color="auto"/>
        <w:right w:val="none" w:sz="0" w:space="0" w:color="auto"/>
      </w:divBdr>
    </w:div>
    <w:div w:id="2139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eb.academy"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0d6f7-ee89-4cc1-9a05-c30bb63bda15" xsi:nil="true"/>
    <lcf76f155ced4ddcb4097134ff3c332f xmlns="895e0921-fcab-4d31-9195-97c01b0ea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E8AFFADC905D4BA34F672F97FA2090" ma:contentTypeVersion="13" ma:contentTypeDescription="Create a new document." ma:contentTypeScope="" ma:versionID="e44842702ca95a3c029be9ad78ff8e81">
  <xsd:schema xmlns:xsd="http://www.w3.org/2001/XMLSchema" xmlns:xs="http://www.w3.org/2001/XMLSchema" xmlns:p="http://schemas.microsoft.com/office/2006/metadata/properties" xmlns:ns2="895e0921-fcab-4d31-9195-97c01b0ea55b" xmlns:ns3="7d00d6f7-ee89-4cc1-9a05-c30bb63bda15" targetNamespace="http://schemas.microsoft.com/office/2006/metadata/properties" ma:root="true" ma:fieldsID="ab65f59a03a8268b156ea0a052b76325" ns2:_="" ns3:_="">
    <xsd:import namespace="895e0921-fcab-4d31-9195-97c01b0ea55b"/>
    <xsd:import namespace="7d00d6f7-ee89-4cc1-9a05-c30bb63b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e0921-fcab-4d31-9195-97c01b0ea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0d6f7-ee89-4cc1-9a05-c30bb63b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a73ce-a28b-45c5-82ed-c1b8c70fb965}" ma:internalName="TaxCatchAll" ma:showField="CatchAllData" ma:web="7d00d6f7-ee89-4cc1-9a05-c30bb63bd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0EE20-23AB-44F6-A93C-7F1C6E10DB65}">
  <ds:schemaRefs>
    <ds:schemaRef ds:uri="http://schemas.microsoft.com/office/2006/metadata/properties"/>
    <ds:schemaRef ds:uri="http://schemas.microsoft.com/office/infopath/2007/PartnerControls"/>
    <ds:schemaRef ds:uri="7d00d6f7-ee89-4cc1-9a05-c30bb63bda15"/>
    <ds:schemaRef ds:uri="895e0921-fcab-4d31-9195-97c01b0ea55b"/>
  </ds:schemaRefs>
</ds:datastoreItem>
</file>

<file path=customXml/itemProps2.xml><?xml version="1.0" encoding="utf-8"?>
<ds:datastoreItem xmlns:ds="http://schemas.openxmlformats.org/officeDocument/2006/customXml" ds:itemID="{45DBE7D8-7FA9-4FFB-BCBD-24640B5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e0921-fcab-4d31-9195-97c01b0ea55b"/>
    <ds:schemaRef ds:uri="7d00d6f7-ee89-4cc1-9a05-c30bb63b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5E952-5FB7-4C6D-8E2C-974A5EA6C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Kuijl</dc:creator>
  <cp:keywords/>
  <dc:description/>
  <cp:lastModifiedBy>Andreja Kutnar</cp:lastModifiedBy>
  <cp:revision>3</cp:revision>
  <cp:lastPrinted>2024-09-28T09:23:00Z</cp:lastPrinted>
  <dcterms:created xsi:type="dcterms:W3CDTF">2025-02-22T14:03:00Z</dcterms:created>
  <dcterms:modified xsi:type="dcterms:W3CDTF">2025-02-22T14:06:00Z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0x01010081E8AFFADC905D4BA34F672F97FA2090</vt:lpwstr>
  </property>
  <property fmtid="{D5CDD505-2E9C-101B-9397-08002B2CF9AE}" pid="3" name="MediaServiceImageTags">
    <vt:lpwstr/>
  </property>
</Properties>
</file>